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3E" w:rsidRPr="007733CA" w:rsidRDefault="00DD4FDA" w:rsidP="004B1749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733CA">
        <w:rPr>
          <w:rFonts w:ascii="Sylfaen" w:hAnsi="Sylfaen"/>
          <w:sz w:val="24"/>
          <w:szCs w:val="24"/>
        </w:rPr>
        <w:t>ՀԱՎԵԼՎԱԾ</w:t>
      </w:r>
    </w:p>
    <w:p w:rsidR="00A17F3E" w:rsidRPr="007733CA" w:rsidRDefault="00DD4FDA" w:rsidP="004B1749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25520" w:rsidRPr="007733CA">
        <w:rPr>
          <w:rFonts w:ascii="Sylfaen" w:hAnsi="Sylfaen"/>
          <w:sz w:val="24"/>
          <w:szCs w:val="24"/>
        </w:rPr>
        <w:br/>
      </w:r>
      <w:r w:rsidRPr="007733CA">
        <w:rPr>
          <w:rFonts w:ascii="Sylfaen" w:hAnsi="Sylfaen"/>
          <w:sz w:val="24"/>
          <w:szCs w:val="24"/>
        </w:rPr>
        <w:t>201</w:t>
      </w:r>
      <w:r w:rsidR="00ED156E" w:rsidRPr="007733CA">
        <w:rPr>
          <w:rFonts w:ascii="Sylfaen" w:hAnsi="Sylfaen"/>
          <w:sz w:val="24"/>
          <w:szCs w:val="24"/>
        </w:rPr>
        <w:t>7</w:t>
      </w:r>
      <w:r w:rsidRPr="007733CA">
        <w:rPr>
          <w:rFonts w:ascii="Sylfaen" w:hAnsi="Sylfaen"/>
          <w:sz w:val="24"/>
          <w:szCs w:val="24"/>
        </w:rPr>
        <w:t xml:space="preserve"> թվականի ապրիլի 24-ի </w:t>
      </w:r>
      <w:r w:rsidR="00D25520" w:rsidRPr="007733CA">
        <w:rPr>
          <w:rFonts w:ascii="Sylfaen" w:hAnsi="Sylfaen"/>
          <w:sz w:val="24"/>
          <w:szCs w:val="24"/>
        </w:rPr>
        <w:br/>
      </w:r>
      <w:r w:rsidRPr="007733CA">
        <w:rPr>
          <w:rFonts w:ascii="Sylfaen" w:hAnsi="Sylfaen"/>
          <w:sz w:val="24"/>
          <w:szCs w:val="24"/>
        </w:rPr>
        <w:t>թիվ 11 հանձնարարականի</w:t>
      </w:r>
    </w:p>
    <w:p w:rsidR="00A64213" w:rsidRPr="007733CA" w:rsidRDefault="00A64213" w:rsidP="00853FEE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17F3E" w:rsidRPr="007733CA" w:rsidRDefault="00DD4FDA" w:rsidP="008C1AAC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7733CA">
        <w:rPr>
          <w:rStyle w:val="Bodytext3Spacing2pt"/>
          <w:rFonts w:ascii="Sylfaen" w:hAnsi="Sylfaen"/>
          <w:b/>
          <w:spacing w:val="0"/>
          <w:sz w:val="24"/>
          <w:szCs w:val="24"/>
        </w:rPr>
        <w:t>ՄԵԹՈԴԱԲԱՆՈՒԹՅՈՒՆ</w:t>
      </w:r>
    </w:p>
    <w:p w:rsidR="00A17F3E" w:rsidRPr="007733CA" w:rsidRDefault="00DD4FDA" w:rsidP="008C1AAC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միջոցների արդյունավետությա</w:t>
      </w:r>
      <w:r w:rsidR="00683565"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t>ն գնահատման</w:t>
      </w:r>
    </w:p>
    <w:p w:rsidR="00A64213" w:rsidRPr="007733CA" w:rsidRDefault="00A64213" w:rsidP="008C1AAC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A17F3E" w:rsidRPr="007733CA" w:rsidRDefault="00AD0310" w:rsidP="00AA65B4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I. Ընդհանուր դրույթները</w:t>
      </w:r>
    </w:p>
    <w:p w:rsidR="00A17F3E" w:rsidRPr="007733CA" w:rsidRDefault="00AD0310" w:rsidP="0007299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1.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Սույն </w:t>
      </w:r>
      <w:r w:rsidR="00E63918" w:rsidRPr="007733CA">
        <w:rPr>
          <w:rFonts w:ascii="Sylfaen" w:hAnsi="Sylfaen"/>
          <w:sz w:val="24"/>
          <w:szCs w:val="24"/>
        </w:rPr>
        <w:t>մ</w:t>
      </w:r>
      <w:r w:rsidRPr="007733CA">
        <w:rPr>
          <w:rFonts w:ascii="Sylfaen" w:hAnsi="Sylfaen"/>
          <w:sz w:val="24"/>
          <w:szCs w:val="24"/>
        </w:rPr>
        <w:t>եթոդաբանությունը մշակվել է ագրոպար</w:t>
      </w:r>
      <w:r w:rsidR="000353C7" w:rsidRPr="007733CA">
        <w:rPr>
          <w:rFonts w:ascii="Sylfaen" w:hAnsi="Sylfaen"/>
          <w:sz w:val="24"/>
          <w:szCs w:val="24"/>
        </w:rPr>
        <w:t>ե</w:t>
      </w:r>
      <w:r w:rsidRPr="007733CA">
        <w:rPr>
          <w:rFonts w:ascii="Sylfaen" w:hAnsi="Sylfaen"/>
          <w:sz w:val="24"/>
          <w:szCs w:val="24"/>
        </w:rPr>
        <w:t xml:space="preserve">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համալիրի՝ որպես գյուղատնտեսական արտադրության կայուն զարգացման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ագրոպարենային շուկայի կայունության համակարգաստեղծ գործոնի աջակցության արդյունավետության բարձրացման նպատակներով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կիրառվում է համակարգային վերլուծություն </w:t>
      </w:r>
      <w:r w:rsidR="00ED156E" w:rsidRPr="007733CA">
        <w:rPr>
          <w:rFonts w:ascii="Sylfaen" w:hAnsi="Sylfaen"/>
          <w:sz w:val="24"/>
          <w:szCs w:val="24"/>
        </w:rPr>
        <w:t xml:space="preserve">կատարելիս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ագրոպարենային շուկայի պետական կարգավորման</w:t>
      </w:r>
      <w:r w:rsidR="008468B8" w:rsidRPr="007733CA">
        <w:rPr>
          <w:rFonts w:ascii="Sylfaen" w:hAnsi="Sylfaen"/>
          <w:sz w:val="24"/>
          <w:szCs w:val="24"/>
        </w:rPr>
        <w:t>ը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միջոցների արդյունավետության բարձրացմանն ուղղված որոշումներ </w:t>
      </w:r>
      <w:r w:rsidR="00ED156E" w:rsidRPr="007733CA">
        <w:rPr>
          <w:rFonts w:ascii="Sylfaen" w:hAnsi="Sylfaen"/>
          <w:sz w:val="24"/>
          <w:szCs w:val="24"/>
        </w:rPr>
        <w:t>կայացնելիս</w:t>
      </w:r>
      <w:r w:rsidRPr="007733CA">
        <w:rPr>
          <w:rFonts w:ascii="Sylfaen" w:hAnsi="Sylfaen"/>
          <w:sz w:val="24"/>
          <w:szCs w:val="24"/>
        </w:rPr>
        <w:t>։</w:t>
      </w:r>
    </w:p>
    <w:p w:rsidR="00A17F3E" w:rsidRPr="007733CA" w:rsidRDefault="00AD0310" w:rsidP="0028094C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2.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Սույն </w:t>
      </w:r>
      <w:r w:rsidR="00E63918" w:rsidRPr="007733CA">
        <w:rPr>
          <w:rFonts w:ascii="Sylfaen" w:hAnsi="Sylfaen"/>
          <w:sz w:val="24"/>
          <w:szCs w:val="24"/>
        </w:rPr>
        <w:t>մ</w:t>
      </w:r>
      <w:r w:rsidRPr="007733CA">
        <w:rPr>
          <w:rFonts w:ascii="Sylfaen" w:hAnsi="Sylfaen"/>
          <w:sz w:val="24"/>
          <w:szCs w:val="24"/>
        </w:rPr>
        <w:t>եթ</w:t>
      </w:r>
      <w:r w:rsidR="00FD68B8" w:rsidRPr="007733CA">
        <w:rPr>
          <w:rFonts w:ascii="Sylfaen" w:hAnsi="Sylfaen"/>
          <w:sz w:val="24"/>
          <w:szCs w:val="24"/>
        </w:rPr>
        <w:t>ո</w:t>
      </w:r>
      <w:r w:rsidRPr="007733CA">
        <w:rPr>
          <w:rFonts w:ascii="Sylfaen" w:hAnsi="Sylfaen"/>
          <w:sz w:val="24"/>
          <w:szCs w:val="24"/>
        </w:rPr>
        <w:t xml:space="preserve">դաբանությունը հիմնված է պետական ծրագրերի, նախագծերի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Եվրասիական տնտեսական միության անդամ պետությունների (այսուհետ համապատասխանաբար՝ Միություն, անդամ պետություններ) պետական մարմինների կողմից ընդունվող կարգավորող որոշումների ամբողջության 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ով արտահայտված՝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համակարգային-նպատակային մեխանիզմի համալիր վերլուծության վրա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lastRenderedPageBreak/>
        <w:t>թույլ</w:t>
      </w:r>
      <w:r w:rsidR="0028094C" w:rsidRPr="007733CA">
        <w:rPr>
          <w:rFonts w:ascii="Sylfaen" w:hAnsi="Sylfaen"/>
          <w:sz w:val="24"/>
          <w:szCs w:val="24"/>
        </w:rPr>
        <w:t> </w:t>
      </w:r>
      <w:r w:rsidRPr="007733CA">
        <w:rPr>
          <w:rFonts w:ascii="Sylfaen" w:hAnsi="Sylfaen"/>
          <w:sz w:val="24"/>
          <w:szCs w:val="24"/>
        </w:rPr>
        <w:t xml:space="preserve">է տալիս ուսումնասիրել կարգավորման </w:t>
      </w:r>
      <w:r w:rsidR="000114CA" w:rsidRPr="007733CA">
        <w:rPr>
          <w:rFonts w:ascii="Sylfaen" w:hAnsi="Sylfaen"/>
          <w:sz w:val="24"/>
          <w:szCs w:val="24"/>
        </w:rPr>
        <w:t>արդյունքներն</w:t>
      </w:r>
      <w:r w:rsidR="005C74DB"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t>ինչպես</w:t>
      </w:r>
      <w:r w:rsidR="005C74DB" w:rsidRPr="007733CA">
        <w:rPr>
          <w:rFonts w:ascii="Sylfaen" w:hAnsi="Sylfaen"/>
          <w:sz w:val="24"/>
          <w:szCs w:val="24"/>
        </w:rPr>
        <w:t xml:space="preserve"> յուրաքանչյուր անդամ պետությունում, ընդհանուր առմամբ Միությունում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նպատակների իրագործման</w:t>
      </w:r>
      <w:r w:rsidR="005C74DB" w:rsidRPr="007733CA">
        <w:rPr>
          <w:rFonts w:ascii="Sylfaen" w:hAnsi="Sylfaen"/>
          <w:sz w:val="24"/>
          <w:szCs w:val="24"/>
        </w:rPr>
        <w:t xml:space="preserve"> մասով,</w:t>
      </w:r>
      <w:r w:rsidR="00452C65"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t>այ</w:t>
      </w:r>
      <w:r w:rsidR="00254EAB" w:rsidRPr="007733CA">
        <w:rPr>
          <w:rFonts w:ascii="Sylfaen" w:hAnsi="Sylfaen"/>
          <w:sz w:val="24"/>
          <w:szCs w:val="24"/>
        </w:rPr>
        <w:t>ն</w:t>
      </w:r>
      <w:r w:rsidRPr="007733CA">
        <w:rPr>
          <w:rFonts w:ascii="Sylfaen" w:hAnsi="Sylfaen"/>
          <w:sz w:val="24"/>
          <w:szCs w:val="24"/>
        </w:rPr>
        <w:t xml:space="preserve">պես էլ ցանկացած </w:t>
      </w:r>
      <w:r w:rsidR="005C74DB" w:rsidRPr="007733CA">
        <w:rPr>
          <w:rFonts w:ascii="Sylfaen" w:hAnsi="Sylfaen"/>
          <w:sz w:val="24"/>
          <w:szCs w:val="24"/>
        </w:rPr>
        <w:t xml:space="preserve">աստիճանի մանրամասնման </w:t>
      </w:r>
      <w:r w:rsidRPr="007733CA">
        <w:rPr>
          <w:rFonts w:ascii="Sylfaen" w:hAnsi="Sylfaen"/>
          <w:sz w:val="24"/>
          <w:szCs w:val="24"/>
        </w:rPr>
        <w:t xml:space="preserve">դեպքում արտադրանքի առանձին խմբերի </w:t>
      </w:r>
      <w:r w:rsidR="00452C65" w:rsidRPr="007733CA">
        <w:rPr>
          <w:rFonts w:ascii="Sylfaen" w:hAnsi="Sylfaen"/>
          <w:sz w:val="24"/>
          <w:szCs w:val="24"/>
        </w:rPr>
        <w:t>մասով</w:t>
      </w:r>
      <w:r w:rsidRPr="007733CA">
        <w:rPr>
          <w:rFonts w:ascii="Sylfaen" w:hAnsi="Sylfaen"/>
          <w:sz w:val="24"/>
          <w:szCs w:val="24"/>
        </w:rPr>
        <w:t>։</w:t>
      </w:r>
    </w:p>
    <w:p w:rsidR="00A17F3E" w:rsidRPr="007733CA" w:rsidRDefault="00AD0310" w:rsidP="0028094C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3.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Սույն </w:t>
      </w:r>
      <w:r w:rsidR="00E63918" w:rsidRPr="007733CA">
        <w:rPr>
          <w:rFonts w:ascii="Sylfaen" w:hAnsi="Sylfaen"/>
          <w:sz w:val="24"/>
          <w:szCs w:val="24"/>
        </w:rPr>
        <w:t>մ</w:t>
      </w:r>
      <w:r w:rsidRPr="007733CA">
        <w:rPr>
          <w:rFonts w:ascii="Sylfaen" w:hAnsi="Sylfaen"/>
          <w:sz w:val="24"/>
          <w:szCs w:val="24"/>
        </w:rPr>
        <w:t>եթ</w:t>
      </w:r>
      <w:r w:rsidR="002671A1" w:rsidRPr="007733CA">
        <w:rPr>
          <w:rFonts w:ascii="Sylfaen" w:hAnsi="Sylfaen"/>
          <w:sz w:val="24"/>
          <w:szCs w:val="24"/>
        </w:rPr>
        <w:t>ո</w:t>
      </w:r>
      <w:r w:rsidRPr="007733CA">
        <w:rPr>
          <w:rFonts w:ascii="Sylfaen" w:hAnsi="Sylfaen"/>
          <w:sz w:val="24"/>
          <w:szCs w:val="24"/>
        </w:rPr>
        <w:t>դաբանությունը առավելագույնս 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այնացված է, հիմնված է վիճակագրական ցուցանիշների միասնական ցանկի, պարզ մաթեմատիկական ապարատի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անդամ պետությունների </w:t>
      </w:r>
      <w:r w:rsidR="002671A1" w:rsidRPr="007733CA">
        <w:rPr>
          <w:rFonts w:ascii="Sylfaen" w:hAnsi="Sylfaen"/>
          <w:sz w:val="24"/>
          <w:szCs w:val="24"/>
        </w:rPr>
        <w:t xml:space="preserve">ամենամյա պետական </w:t>
      </w:r>
      <w:r w:rsidRPr="007733CA">
        <w:rPr>
          <w:rFonts w:ascii="Sylfaen" w:hAnsi="Sylfaen"/>
          <w:sz w:val="24"/>
          <w:szCs w:val="24"/>
        </w:rPr>
        <w:t>վիճակագրական ծրագրերի տվյալների վրա, ինչպես նա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միասնականացված է բոլոր անդամ պետություններում բազմակի օգտագործման համար։</w:t>
      </w:r>
    </w:p>
    <w:p w:rsidR="00A17F3E" w:rsidRPr="007733CA" w:rsidRDefault="00AD0310" w:rsidP="0028094C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4.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Սույն </w:t>
      </w:r>
      <w:r w:rsidR="00E63918" w:rsidRPr="007733CA">
        <w:rPr>
          <w:rFonts w:ascii="Sylfaen" w:hAnsi="Sylfaen"/>
          <w:sz w:val="24"/>
          <w:szCs w:val="24"/>
        </w:rPr>
        <w:t>մ</w:t>
      </w:r>
      <w:r w:rsidRPr="007733CA">
        <w:rPr>
          <w:rFonts w:ascii="Sylfaen" w:hAnsi="Sylfaen"/>
          <w:sz w:val="24"/>
          <w:szCs w:val="24"/>
        </w:rPr>
        <w:t xml:space="preserve">եթոդաբանությունը հիմնվում է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համակարգային վերլուծության նկատմամբ </w:t>
      </w:r>
      <w:r w:rsidR="00254EAB" w:rsidRPr="007733CA">
        <w:rPr>
          <w:rFonts w:ascii="Sylfaen" w:hAnsi="Sylfaen"/>
          <w:sz w:val="24"/>
          <w:szCs w:val="24"/>
        </w:rPr>
        <w:t xml:space="preserve">անդամ պետությունների համար ընդհանուր </w:t>
      </w:r>
      <w:r w:rsidRPr="007733CA">
        <w:rPr>
          <w:rFonts w:ascii="Sylfaen" w:hAnsi="Sylfaen"/>
          <w:sz w:val="24"/>
          <w:szCs w:val="24"/>
        </w:rPr>
        <w:t xml:space="preserve">մոտեցումների վրա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հաշվի է առնում տնտեսական գործունեության վրա այդ կարգավորման ազդեցության արդյունավետության որակական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քանակական գնահատման չափորոշիչները, այդ թվում՝</w:t>
      </w:r>
    </w:p>
    <w:p w:rsidR="00A17F3E" w:rsidRPr="007733CA" w:rsidRDefault="00AD0310" w:rsidP="0028094C">
      <w:pPr>
        <w:pStyle w:val="Bodytext20"/>
        <w:shd w:val="clear" w:color="auto" w:fill="auto"/>
        <w:tabs>
          <w:tab w:val="left" w:pos="1701"/>
        </w:tabs>
        <w:spacing w:before="0" w:after="160" w:line="348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1)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պետական ծրագրերին կամ անդամ պետությունների պետական մարմինների որոշումներին համապատասխան կատարվող հատկացումների ամբողջության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շուկայական գների պահպանման մեխանիզմի օգտագործման մասով պետական աջակցության մակարդակի սահմանումը.</w:t>
      </w:r>
    </w:p>
    <w:p w:rsidR="00A17F3E" w:rsidRPr="007733CA" w:rsidRDefault="00AD0310" w:rsidP="0028094C">
      <w:pPr>
        <w:pStyle w:val="Bodytext20"/>
        <w:shd w:val="clear" w:color="auto" w:fill="auto"/>
        <w:tabs>
          <w:tab w:val="left" w:pos="1701"/>
        </w:tabs>
        <w:spacing w:before="0" w:after="160" w:line="348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2)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>շուկայում երրորդ պետությունների գյուղատնտեսական արտադրանքի հասանելիության կարգավորման միջոցների արդյունավետությունը (ներմուծման կարգավորման հավասարակշռված համակարգի հետ համակցությամբ աջակցության միջոցների արդյունավետությունը հաշվի առնելը).</w:t>
      </w:r>
    </w:p>
    <w:p w:rsidR="00A17F3E" w:rsidRPr="007733CA" w:rsidRDefault="00AD0310" w:rsidP="0028094C">
      <w:pPr>
        <w:pStyle w:val="Bodytext20"/>
        <w:shd w:val="clear" w:color="auto" w:fill="auto"/>
        <w:tabs>
          <w:tab w:val="left" w:pos="1701"/>
        </w:tabs>
        <w:spacing w:before="0" w:after="160" w:line="348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3)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ագրոարդյունաբերական համալիրի աջակցության մեխանիզմների արդյունավետության փոխկապակցվածությունը մակրոտնտեսական իրավիճակի, բնակչության եկամուտների վիճակի, բյուջետային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հակագնաճային քաղաքականության հետ։</w:t>
      </w:r>
    </w:p>
    <w:p w:rsidR="00A17F3E" w:rsidRPr="007733CA" w:rsidRDefault="00AD0310" w:rsidP="00F3764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lastRenderedPageBreak/>
        <w:t>5.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արդյունավետությունը սահմանվում է</w:t>
      </w:r>
      <w:r w:rsidR="00C922BF" w:rsidRPr="007733CA">
        <w:rPr>
          <w:rFonts w:ascii="Sylfaen" w:hAnsi="Sylfaen"/>
          <w:sz w:val="24"/>
          <w:szCs w:val="24"/>
        </w:rPr>
        <w:t>՝</w:t>
      </w:r>
      <w:r w:rsidRPr="007733CA">
        <w:rPr>
          <w:rFonts w:ascii="Sylfaen" w:hAnsi="Sylfaen"/>
          <w:sz w:val="24"/>
          <w:szCs w:val="24"/>
        </w:rPr>
        <w:t xml:space="preserve"> կախված ֆինանսական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ոչ ֆինանսական գործիքների (մեխանիզմների)՝ տնտեսական գործունեության, արտադր</w:t>
      </w:r>
      <w:r w:rsidR="002B695D" w:rsidRPr="007733CA">
        <w:rPr>
          <w:rFonts w:ascii="Sylfaen" w:hAnsi="Sylfaen"/>
          <w:sz w:val="24"/>
          <w:szCs w:val="24"/>
        </w:rPr>
        <w:t>անքի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ծառայությունների, սպառողների, շուկայի վիճակի, ինչպես նա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ինստիտուցիոնալ միջավայրի վրա ունեցած ազդեցության արդյունավորությունից։</w:t>
      </w:r>
    </w:p>
    <w:p w:rsidR="00A17F3E" w:rsidRPr="007733CA" w:rsidRDefault="00AD0310" w:rsidP="00F3764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6.</w:t>
      </w:r>
      <w:r w:rsidR="0007299F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արդյունավետ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չափորոշիչների մշակումն իրականացվում է</w:t>
      </w:r>
      <w:r w:rsidR="0001490F" w:rsidRPr="007733CA">
        <w:rPr>
          <w:rFonts w:ascii="Sylfaen" w:hAnsi="Sylfaen"/>
          <w:sz w:val="24"/>
          <w:szCs w:val="24"/>
        </w:rPr>
        <w:t>՝</w:t>
      </w:r>
      <w:r w:rsidRPr="007733CA">
        <w:rPr>
          <w:rFonts w:ascii="Sylfaen" w:hAnsi="Sylfaen"/>
          <w:sz w:val="24"/>
          <w:szCs w:val="24"/>
        </w:rPr>
        <w:t xml:space="preserve"> հաշվի առնելով ագրոարդյունաբերական համալիրի բազմագործոն լինելը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պետական կարգավորման</w:t>
      </w:r>
      <w:r w:rsidR="00F012CF" w:rsidRPr="007733CA">
        <w:rPr>
          <w:rFonts w:ascii="Sylfaen" w:hAnsi="Sylfaen"/>
          <w:sz w:val="24"/>
          <w:szCs w:val="24"/>
        </w:rPr>
        <w:t>՝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F012CF" w:rsidRPr="007733CA">
        <w:rPr>
          <w:rFonts w:ascii="Sylfaen" w:hAnsi="Sylfaen"/>
          <w:sz w:val="24"/>
          <w:szCs w:val="24"/>
        </w:rPr>
        <w:t xml:space="preserve">գյուղատնտեսության ոլորտում ընդունված միջազգային պարտավորություններին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F012CF" w:rsidRPr="007733CA">
        <w:rPr>
          <w:rFonts w:ascii="Sylfaen" w:hAnsi="Sylfaen"/>
          <w:sz w:val="24"/>
          <w:szCs w:val="24"/>
        </w:rPr>
        <w:t xml:space="preserve"> անդամ պետությունների փոխադարձ առ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F012CF" w:rsidRPr="007733CA">
        <w:rPr>
          <w:rFonts w:ascii="Sylfaen" w:hAnsi="Sylfaen"/>
          <w:sz w:val="24"/>
          <w:szCs w:val="24"/>
        </w:rPr>
        <w:t xml:space="preserve">տրի շուկայական մեխանիզմների գործունեության սկզբունքներին համապատասխանող </w:t>
      </w:r>
      <w:r w:rsidRPr="007733CA">
        <w:rPr>
          <w:rFonts w:ascii="Sylfaen" w:hAnsi="Sylfaen"/>
          <w:sz w:val="24"/>
          <w:szCs w:val="24"/>
        </w:rPr>
        <w:t>ազգային համակարգերի առանձնահատկությունները։</w:t>
      </w:r>
    </w:p>
    <w:p w:rsidR="00A64213" w:rsidRPr="007733CA" w:rsidRDefault="00A64213" w:rsidP="00AA65B4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II. Կիրառության ոլորտը</w:t>
      </w:r>
    </w:p>
    <w:p w:rsidR="00A17F3E" w:rsidRPr="007733CA" w:rsidRDefault="00AD0310" w:rsidP="006519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7.</w:t>
      </w:r>
      <w:r w:rsidR="00651993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Սույն </w:t>
      </w:r>
      <w:r w:rsidR="00E63918" w:rsidRPr="007733CA">
        <w:rPr>
          <w:rFonts w:ascii="Sylfaen" w:hAnsi="Sylfaen"/>
          <w:sz w:val="24"/>
          <w:szCs w:val="24"/>
        </w:rPr>
        <w:t>մ</w:t>
      </w:r>
      <w:r w:rsidRPr="007733CA">
        <w:rPr>
          <w:rFonts w:ascii="Sylfaen" w:hAnsi="Sylfaen"/>
          <w:sz w:val="24"/>
          <w:szCs w:val="24"/>
        </w:rPr>
        <w:t>եթ</w:t>
      </w:r>
      <w:r w:rsidR="008C340D" w:rsidRPr="007733CA">
        <w:rPr>
          <w:rFonts w:ascii="Sylfaen" w:hAnsi="Sylfaen"/>
          <w:sz w:val="24"/>
          <w:szCs w:val="24"/>
        </w:rPr>
        <w:t>ո</w:t>
      </w:r>
      <w:r w:rsidRPr="007733CA">
        <w:rPr>
          <w:rFonts w:ascii="Sylfaen" w:hAnsi="Sylfaen"/>
          <w:sz w:val="24"/>
          <w:szCs w:val="24"/>
        </w:rPr>
        <w:t xml:space="preserve">դաբանությունը կիրառվում է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ոլորտում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հաշվի է առնում տնտեսության տվյալ հատվածի զարգացման առանձնահատկություններ</w:t>
      </w:r>
      <w:r w:rsidR="008C340D" w:rsidRPr="007733CA">
        <w:rPr>
          <w:rFonts w:ascii="Sylfaen" w:hAnsi="Sylfaen"/>
          <w:sz w:val="24"/>
          <w:szCs w:val="24"/>
        </w:rPr>
        <w:t>ը</w:t>
      </w:r>
      <w:r w:rsidRPr="007733CA">
        <w:rPr>
          <w:rFonts w:ascii="Sylfaen" w:hAnsi="Sylfaen"/>
          <w:sz w:val="24"/>
          <w:szCs w:val="24"/>
        </w:rPr>
        <w:t xml:space="preserve">, այդ թվում՝ գյուղատնտեսության սեզոնային բնույթը, անդամ պետությունների տարածքներում աշխարհագրական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կլիմայական պայմանները, որոնք ազդում են գյուղատնտեսական արտադրանքի արտադրության արդյունավետության վրա, 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8C340D" w:rsidRPr="007733CA">
        <w:rPr>
          <w:rFonts w:ascii="Sylfaen" w:hAnsi="Sylfaen"/>
          <w:sz w:val="24"/>
          <w:szCs w:val="24"/>
        </w:rPr>
        <w:t xml:space="preserve"> </w:t>
      </w:r>
      <w:r w:rsidR="00F537D3" w:rsidRPr="007733CA">
        <w:rPr>
          <w:rFonts w:ascii="Sylfaen" w:hAnsi="Sylfaen"/>
          <w:sz w:val="24"/>
          <w:szCs w:val="24"/>
        </w:rPr>
        <w:t xml:space="preserve">դինամիկ </w:t>
      </w:r>
      <w:r w:rsidR="008C340D" w:rsidRPr="007733CA">
        <w:rPr>
          <w:rFonts w:ascii="Sylfaen" w:hAnsi="Sylfaen"/>
          <w:sz w:val="24"/>
          <w:szCs w:val="24"/>
        </w:rPr>
        <w:t>զարգացող ինտեգրման գործընթացների պայմաններում</w:t>
      </w:r>
      <w:r w:rsidRPr="007733CA">
        <w:rPr>
          <w:rFonts w:ascii="Sylfaen" w:hAnsi="Sylfaen"/>
          <w:sz w:val="24"/>
          <w:szCs w:val="24"/>
        </w:rPr>
        <w:t xml:space="preserve"> ներքին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արտաքին շուկաներում մրցակցային միջավայրին հարմարվելու </w:t>
      </w:r>
      <w:r w:rsidR="008C340D" w:rsidRPr="007733CA">
        <w:rPr>
          <w:rFonts w:ascii="Sylfaen" w:hAnsi="Sylfaen"/>
          <w:sz w:val="24"/>
          <w:szCs w:val="24"/>
        </w:rPr>
        <w:t xml:space="preserve">դրա </w:t>
      </w:r>
      <w:r w:rsidRPr="007733CA">
        <w:rPr>
          <w:rFonts w:ascii="Sylfaen" w:hAnsi="Sylfaen"/>
          <w:sz w:val="24"/>
          <w:szCs w:val="24"/>
        </w:rPr>
        <w:t>կարողությունը</w:t>
      </w:r>
      <w:r w:rsidR="008C340D" w:rsidRPr="007733CA">
        <w:rPr>
          <w:rFonts w:ascii="Sylfaen" w:hAnsi="Sylfaen"/>
          <w:sz w:val="24"/>
          <w:szCs w:val="24"/>
        </w:rPr>
        <w:t>։</w:t>
      </w:r>
    </w:p>
    <w:p w:rsidR="00A17F3E" w:rsidRPr="007733CA" w:rsidRDefault="00AD0310" w:rsidP="006519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8.</w:t>
      </w:r>
      <w:r w:rsidR="00651993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ոլորտը ներառում է ինչպես գործիքներ (մեխանիզմներ), որոնք հիմնվում են ագրոարդյունաբերական </w:t>
      </w:r>
      <w:r w:rsidRPr="007733CA">
        <w:rPr>
          <w:rFonts w:ascii="Sylfaen" w:hAnsi="Sylfaen"/>
          <w:sz w:val="24"/>
          <w:szCs w:val="24"/>
        </w:rPr>
        <w:lastRenderedPageBreak/>
        <w:t>համալիրի աջակցության ֆինանսական մեթոդների վրա (</w:t>
      </w:r>
      <w:r w:rsidR="008C340D" w:rsidRPr="007733CA">
        <w:rPr>
          <w:rFonts w:ascii="Sylfaen" w:hAnsi="Sylfaen"/>
          <w:sz w:val="24"/>
          <w:szCs w:val="24"/>
        </w:rPr>
        <w:t xml:space="preserve">ռեսուրսներով </w:t>
      </w:r>
      <w:r w:rsidRPr="007733CA">
        <w:rPr>
          <w:rFonts w:ascii="Sylfaen" w:hAnsi="Sylfaen"/>
          <w:sz w:val="24"/>
          <w:szCs w:val="24"/>
        </w:rPr>
        <w:t>ապահովում), այդպես էլ գործիքներ (մեխանիզմներ), որոնք հիմնվում են ագրոարդյունաբերական համալիրի աջակցության վարչական մեթոդների վրա, որոնք գործում են ոչ պակաս արդյունավետորեն հատկապես այն իրավիճակում, երբ հնարավոր չէ ուղղակի ֆինանսական աջակցություն ցուցաբերել։</w:t>
      </w:r>
    </w:p>
    <w:p w:rsidR="00A17F3E" w:rsidRPr="007733CA" w:rsidRDefault="00AD0310" w:rsidP="006519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20" w:firstLine="54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9.</w:t>
      </w:r>
      <w:r w:rsidR="00651993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գործիքները (մեխանիզմներ) օգտագործվում են համապետական մակարդակով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առանձին տարածաշրջանների (տեղանքների) մակարդակով՝ հաշվի առնելով գյուղատնտեսության ոլորտում գործունեության իրականացման տարածքային առանձնահատկությունը, ինչով ընդհանուր առմամբ պայմանավորված է պետական կարգավորման նպատակների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խնդիրների առաջադրումը 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A61E08" w:rsidRPr="007733CA">
        <w:rPr>
          <w:rFonts w:ascii="Sylfaen" w:hAnsi="Sylfaen"/>
          <w:sz w:val="24"/>
          <w:szCs w:val="24"/>
        </w:rPr>
        <w:t xml:space="preserve"> դրանց իրականացման համար</w:t>
      </w:r>
      <w:r w:rsidRPr="007733CA">
        <w:rPr>
          <w:rFonts w:ascii="Sylfaen" w:hAnsi="Sylfaen"/>
          <w:sz w:val="24"/>
          <w:szCs w:val="24"/>
        </w:rPr>
        <w:t xml:space="preserve"> գործիքների (մեխանիզմների) փոխդասավորությունը (համադրությունը)։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գործիքները (մեխանիզմները) ներկայացված են նկարում։</w:t>
      </w:r>
    </w:p>
    <w:p w:rsidR="00804432" w:rsidRPr="007733CA" w:rsidRDefault="00804432" w:rsidP="00AA65B4">
      <w:pPr>
        <w:spacing w:after="160" w:line="360" w:lineRule="auto"/>
      </w:pPr>
    </w:p>
    <w:p w:rsidR="00A17F3E" w:rsidRPr="007733CA" w:rsidRDefault="002A017F" w:rsidP="00AA65B4">
      <w:pPr>
        <w:spacing w:after="160" w:line="360" w:lineRule="auto"/>
        <w:jc w:val="center"/>
      </w:pPr>
      <w:r>
        <w:rPr>
          <w:noProof/>
          <w:lang w:val="ru-RU" w:eastAsia="ru-RU" w:bidi="ar-SA"/>
        </w:rPr>
        <w:lastRenderedPageBreak/>
        <w:pict>
          <v:group id="_x0000_s1053" style="position:absolute;left:0;text-align:left;margin-left:1.8pt;margin-top:7.8pt;width:449.3pt;height:340.75pt;z-index:251680768" coordorigin="1454,1574" coordsize="8986,68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454;top:1730;width:2027;height:846;mso-width-relative:margin;mso-height-relative:margin" strokecolor="white [3212]" strokeweight="0">
              <v:textbox style="mso-next-textbox:#_x0000_s1029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Ֆինանսական կարգավորում</w:t>
                    </w:r>
                  </w:p>
                </w:txbxContent>
              </v:textbox>
            </v:shape>
            <v:shape id="_x0000_s1030" type="#_x0000_t202" style="position:absolute;left:1486;top:4720;width:2027;height:666;mso-width-relative:margin;mso-height-relative:margin" strokecolor="white [3212]" strokeweight="0">
              <v:textbox style="mso-next-textbox:#_x0000_s1030">
                <w:txbxContent>
                  <w:p w:rsidR="00523321" w:rsidRPr="008862E6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62E6">
                      <w:rPr>
                        <w:sz w:val="16"/>
                        <w:szCs w:val="16"/>
                      </w:rPr>
                      <w:t>Նորմատիվ կարգավորում</w:t>
                    </w:r>
                  </w:p>
                </w:txbxContent>
              </v:textbox>
            </v:shape>
            <v:shape id="_x0000_s1031" type="#_x0000_t202" style="position:absolute;left:1516;top:6225;width:1965;height:725;mso-width-relative:margin;mso-height-relative:margin" strokecolor="white [3212]" strokeweight="0">
              <v:textbox style="mso-next-textbox:#_x0000_s1031">
                <w:txbxContent>
                  <w:p w:rsidR="00523321" w:rsidRPr="008862E6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62E6">
                      <w:rPr>
                        <w:sz w:val="16"/>
                        <w:szCs w:val="16"/>
                      </w:rPr>
                      <w:t>Սոցիալական կարգավորում</w:t>
                    </w:r>
                  </w:p>
                </w:txbxContent>
              </v:textbox>
            </v:shape>
            <v:shape id="_x0000_s1032" type="#_x0000_t202" style="position:absolute;left:1504;top:7255;width:2009;height:725;mso-width-relative:margin;mso-height-relative:margin" strokecolor="white [3212]" strokeweight="0">
              <v:textbox style="mso-next-textbox:#_x0000_s1032">
                <w:txbxContent>
                  <w:p w:rsidR="00523321" w:rsidRPr="008862E6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62E6">
                      <w:rPr>
                        <w:sz w:val="16"/>
                        <w:szCs w:val="16"/>
                      </w:rPr>
                      <w:t>Էկոլոգիական կարգավորում</w:t>
                    </w:r>
                  </w:p>
                </w:txbxContent>
              </v:textbox>
            </v:shape>
            <v:shape id="_x0000_s1033" type="#_x0000_t202" style="position:absolute;left:4729;top:1730;width:1856;height:355;mso-width-relative:margin;mso-height-relative:margin" strokecolor="white [3212]" strokeweight="0">
              <v:textbox style="mso-next-textbox:#_x0000_s1033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Ներդրումներ</w:t>
                    </w:r>
                  </w:p>
                </w:txbxContent>
              </v:textbox>
            </v:shape>
            <v:shape id="_x0000_s1034" type="#_x0000_t202" style="position:absolute;left:4549;top:2320;width:2279;height:725;mso-width-relative:margin;mso-height-relative:margin" strokecolor="white [3212]" strokeweight="0">
              <v:textbox style="mso-next-textbox:#_x0000_s1034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Դրամավարկային կարգավորում</w:t>
                    </w:r>
                  </w:p>
                </w:txbxContent>
              </v:textbox>
            </v:shape>
            <v:shape id="_x0000_s1035" type="#_x0000_t202" style="position:absolute;left:4549;top:3187;width:2279;height:628;mso-width-relative:margin;mso-height-relative:margin" strokecolor="white [3212]" strokeweight="0">
              <v:textbox style="mso-next-textbox:#_x0000_s1035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Գնային կարգավորում</w:t>
                    </w:r>
                  </w:p>
                </w:txbxContent>
              </v:textbox>
            </v:shape>
            <v:shape id="_x0000_s1036" type="#_x0000_t202" style="position:absolute;left:4549;top:3989;width:2279;height:526;mso-width-relative:margin;mso-height-relative:margin" strokecolor="white [3212]" strokeweight="0">
              <v:textbox style="mso-next-textbox:#_x0000_s1036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Պարտադիր վճարներ</w:t>
                    </w:r>
                  </w:p>
                </w:txbxContent>
              </v:textbox>
            </v:shape>
            <v:shape id="_x0000_s1037" type="#_x0000_t202" style="position:absolute;left:4549;top:4839;width:2279;height:547;mso-width-relative:margin;mso-height-relative:margin" strokecolor="white [3212]" strokeweight="0">
              <v:textbox style="mso-next-textbox:#_x0000_s1037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Տեխնիկական կարգավորում</w:t>
                    </w:r>
                  </w:p>
                </w:txbxContent>
              </v:textbox>
            </v:shape>
            <v:shape id="_x0000_s1038" type="#_x0000_t202" style="position:absolute;left:4549;top:5560;width:2279;height:1087;mso-width-relative:margin;mso-height-relative:margin" strokecolor="white [3212]" strokeweight="0">
              <v:textbox style="mso-next-textbox:#_x0000_s1038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Սանիտարական, անասնաբուժական ու բուսասանիտարական միջոցառումներ</w:t>
                    </w:r>
                  </w:p>
                </w:txbxContent>
              </v:textbox>
            </v:shape>
            <v:shape id="_x0000_s1040" type="#_x0000_t202" style="position:absolute;left:4549;top:6851;width:2279;height:585;mso-width-relative:margin;mso-height-relative:margin" strokecolor="white [3212]" strokeweight="0">
              <v:textbox style="mso-next-textbox:#_x0000_s1040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Աշխատանքային հարաբերություններ</w:t>
                    </w:r>
                  </w:p>
                </w:txbxContent>
              </v:textbox>
            </v:shape>
            <v:shape id="_x0000_s1041" type="#_x0000_t202" style="position:absolute;left:4729;top:7572;width:2099;height:315;mso-width-relative:margin;mso-height-relative:margin" strokecolor="white [3212]" strokeweight="0">
              <v:textbox style="mso-next-textbox:#_x0000_s1041">
                <w:txbxContent>
                  <w:p w:rsidR="00523321" w:rsidRPr="002E0931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Զբաղվածություն</w:t>
                    </w:r>
                  </w:p>
                </w:txbxContent>
              </v:textbox>
            </v:shape>
            <v:shape id="_x0000_s1042" type="#_x0000_t202" style="position:absolute;left:4612;top:8121;width:2216;height:268;mso-width-relative:margin;mso-height-relative:margin" strokecolor="white [3212]" strokeweight="0">
              <v:textbox style="mso-next-textbox:#_x0000_s1042" inset="0,0,0,0">
                <w:txbxContent>
                  <w:p w:rsidR="00523321" w:rsidRPr="0068554D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8554D">
                      <w:rPr>
                        <w:sz w:val="16"/>
                        <w:szCs w:val="16"/>
                      </w:rPr>
                      <w:t>Աշխատանքի պայմաններ</w:t>
                    </w:r>
                  </w:p>
                </w:txbxContent>
              </v:textbox>
            </v:shape>
            <v:shape id="_x0000_s1043" type="#_x0000_t202" style="position:absolute;left:8043;top:1574;width:2397;height:586;mso-width-relative:margin;mso-height-relative:margin" strokecolor="white [3212]" strokeweight="0">
              <v:textbox style="mso-next-textbox:#_x0000_s1043">
                <w:txbxContent>
                  <w:p w:rsidR="00523321" w:rsidRPr="00684277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84277">
                      <w:rPr>
                        <w:sz w:val="16"/>
                        <w:szCs w:val="16"/>
                      </w:rPr>
                      <w:t>Պետական ծրագրեր</w:t>
                    </w:r>
                  </w:p>
                </w:txbxContent>
              </v:textbox>
            </v:shape>
            <v:shape id="_x0000_s1045" type="#_x0000_t202" style="position:absolute;left:8133;top:2411;width:2217;height:634;mso-width-relative:margin;mso-height-relative:margin" strokecolor="white [3212]" strokeweight="0">
              <v:textbox style="mso-next-textbox:#_x0000_s1045">
                <w:txbxContent>
                  <w:p w:rsidR="00523321" w:rsidRPr="00684277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84277">
                      <w:rPr>
                        <w:sz w:val="16"/>
                        <w:szCs w:val="16"/>
                      </w:rPr>
                      <w:t>Պետական պատվերներ</w:t>
                    </w:r>
                  </w:p>
                </w:txbxContent>
              </v:textbox>
            </v:shape>
            <v:shape id="_x0000_s1046" type="#_x0000_t202" style="position:absolute;left:8118;top:3187;width:2217;height:329;mso-width-relative:margin;mso-height-relative:margin" strokecolor="white [3212]" strokeweight="0">
              <v:textbox style="mso-next-textbox:#_x0000_s1046">
                <w:txbxContent>
                  <w:p w:rsidR="00523321" w:rsidRPr="00684277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84277">
                      <w:rPr>
                        <w:sz w:val="16"/>
                        <w:szCs w:val="16"/>
                      </w:rPr>
                      <w:t>Սուբսիդիաներ</w:t>
                    </w:r>
                  </w:p>
                </w:txbxContent>
              </v:textbox>
            </v:shape>
            <v:shape id="_x0000_s1047" type="#_x0000_t202" style="position:absolute;left:8118;top:3717;width:2217;height:378;mso-width-relative:margin;mso-height-relative:margin" strokecolor="white [3212]" strokeweight="0">
              <v:textbox style="mso-next-textbox:#_x0000_s1047">
                <w:txbxContent>
                  <w:p w:rsidR="00523321" w:rsidRPr="00B42520" w:rsidRDefault="00523321" w:rsidP="00D539F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42520">
                      <w:rPr>
                        <w:sz w:val="16"/>
                        <w:szCs w:val="16"/>
                      </w:rPr>
                      <w:t>Հարկեր</w:t>
                    </w:r>
                  </w:p>
                </w:txbxContent>
              </v:textbox>
            </v:shape>
            <v:shape id="_x0000_s1048" type="#_x0000_t202" style="position:absolute;left:8043;top:4990;width:2307;height:845;mso-width-relative:margin;mso-height-relative:margin" strokecolor="white [3212]" strokeweight="0">
              <v:textbox style="mso-next-textbox:#_x0000_s1048">
                <w:txbxContent>
                  <w:p w:rsidR="00523321" w:rsidRPr="002E0931" w:rsidRDefault="00523321" w:rsidP="00F0569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2E0931">
                      <w:rPr>
                        <w:sz w:val="16"/>
                        <w:szCs w:val="16"/>
                      </w:rPr>
                      <w:t>Արտադրանքի անվտանգության պահանջներ</w:t>
                    </w:r>
                  </w:p>
                </w:txbxContent>
              </v:textbox>
            </v:shape>
            <v:shape id="_x0000_s1049" type="#_x0000_t202" style="position:absolute;left:8043;top:4387;width:2397;height:333;mso-width-relative:margin;mso-height-relative:margin" strokecolor="white [3212]" strokeweight="0">
              <v:textbox style="mso-next-textbox:#_x0000_s1049">
                <w:txbxContent>
                  <w:p w:rsidR="00523321" w:rsidRPr="00236F29" w:rsidRDefault="00523321" w:rsidP="00D539F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</w:rPr>
                      <w:t>Սակագներ</w:t>
                    </w:r>
                  </w:p>
                </w:txbxContent>
              </v:textbox>
            </v:shape>
          </v:group>
        </w:pict>
      </w:r>
      <w:r>
        <w:fldChar w:fldCharType="begin"/>
      </w:r>
      <w:r>
        <w:instrText xml:space="preserve"> </w:instrText>
      </w:r>
      <w:r>
        <w:instrText>INCLUDEPICTURE  "C:\\Users\\Hayk\\Desktop\\media\\image2.jpeg"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3pt;height:354.15pt">
            <v:imagedata r:id="rId9" r:href="rId10"/>
          </v:shape>
        </w:pict>
      </w:r>
      <w:r>
        <w:fldChar w:fldCharType="end"/>
      </w:r>
    </w:p>
    <w:p w:rsidR="00A17F3E" w:rsidRPr="007733CA" w:rsidRDefault="00AD0310" w:rsidP="00DA5E2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10.</w:t>
      </w:r>
      <w:r w:rsidR="00651993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</w:t>
      </w:r>
      <w:r w:rsidR="005D5FCF" w:rsidRPr="007733CA">
        <w:rPr>
          <w:rFonts w:ascii="Sylfaen" w:hAnsi="Sylfaen"/>
          <w:sz w:val="24"/>
          <w:szCs w:val="24"/>
        </w:rPr>
        <w:t>ան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5D5FCF" w:rsidRPr="007733CA">
        <w:rPr>
          <w:rFonts w:ascii="Sylfaen" w:hAnsi="Sylfaen"/>
          <w:sz w:val="24"/>
          <w:szCs w:val="24"/>
        </w:rPr>
        <w:t xml:space="preserve">պետական կարգավորումը </w:t>
      </w:r>
      <w:r w:rsidRPr="007733CA">
        <w:rPr>
          <w:rFonts w:ascii="Sylfaen" w:hAnsi="Sylfaen"/>
          <w:sz w:val="24"/>
          <w:szCs w:val="24"/>
        </w:rPr>
        <w:t>կար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որ խնդիր է, քանի որ գյուղատնտեսական արտադրությ</w:t>
      </w:r>
      <w:r w:rsidR="00A61E08" w:rsidRPr="007733CA">
        <w:rPr>
          <w:rFonts w:ascii="Sylfaen" w:hAnsi="Sylfaen"/>
          <w:sz w:val="24"/>
          <w:szCs w:val="24"/>
        </w:rPr>
        <w:t>ունից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ագրոպարենային շուկայի վիճակից կախված են երկրի պարենային անվտանգությունը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գյուղական բնակչության զբաղվածության սոցիալական խնդ</w:t>
      </w:r>
      <w:r w:rsidR="005D5FCF" w:rsidRPr="007733CA">
        <w:rPr>
          <w:rFonts w:ascii="Sylfaen" w:hAnsi="Sylfaen"/>
          <w:sz w:val="24"/>
          <w:szCs w:val="24"/>
        </w:rPr>
        <w:t>ր</w:t>
      </w:r>
      <w:r w:rsidRPr="007733CA">
        <w:rPr>
          <w:rFonts w:ascii="Sylfaen" w:hAnsi="Sylfaen"/>
          <w:sz w:val="24"/>
          <w:szCs w:val="24"/>
        </w:rPr>
        <w:t>ի լուծումը։</w:t>
      </w:r>
    </w:p>
    <w:p w:rsidR="00477040" w:rsidRPr="007733CA" w:rsidRDefault="00477040" w:rsidP="00DA5E2C">
      <w:pPr>
        <w:pStyle w:val="Bodytext20"/>
        <w:shd w:val="clear" w:color="auto" w:fill="auto"/>
        <w:spacing w:before="0"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17F3E" w:rsidRPr="007733CA" w:rsidRDefault="00DD4FDA" w:rsidP="00DA5E2C">
      <w:pPr>
        <w:pStyle w:val="Bodytext20"/>
        <w:shd w:val="clear" w:color="auto" w:fill="auto"/>
        <w:spacing w:before="0" w:after="160" w:line="336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III. Պետական կարգավորման արդյունավետության գնահատ</w:t>
      </w:r>
      <w:r w:rsidR="005D5FCF" w:rsidRPr="007733CA">
        <w:rPr>
          <w:rFonts w:ascii="Sylfaen" w:hAnsi="Sylfaen"/>
          <w:sz w:val="24"/>
          <w:szCs w:val="24"/>
        </w:rPr>
        <w:t>ում</w:t>
      </w:r>
      <w:r w:rsidRPr="007733CA">
        <w:rPr>
          <w:rFonts w:ascii="Sylfaen" w:hAnsi="Sylfaen"/>
          <w:sz w:val="24"/>
          <w:szCs w:val="24"/>
        </w:rPr>
        <w:t xml:space="preserve"> անցկաց</w:t>
      </w:r>
      <w:r w:rsidR="005D5FCF" w:rsidRPr="007733CA">
        <w:rPr>
          <w:rFonts w:ascii="Sylfaen" w:hAnsi="Sylfaen"/>
          <w:sz w:val="24"/>
          <w:szCs w:val="24"/>
        </w:rPr>
        <w:t>նելու</w:t>
      </w:r>
      <w:r w:rsidRPr="007733CA">
        <w:rPr>
          <w:rFonts w:ascii="Sylfaen" w:hAnsi="Sylfaen"/>
          <w:sz w:val="24"/>
          <w:szCs w:val="24"/>
        </w:rPr>
        <w:t xml:space="preserve"> փուլերը</w:t>
      </w:r>
    </w:p>
    <w:p w:rsidR="0040758F" w:rsidRPr="007733CA" w:rsidRDefault="0040758F" w:rsidP="00DA5E2C">
      <w:pPr>
        <w:pStyle w:val="Bodytext20"/>
        <w:shd w:val="clear" w:color="auto" w:fill="auto"/>
        <w:spacing w:before="0" w:after="160" w:line="336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A17F3E" w:rsidRPr="007733CA" w:rsidRDefault="00AD0310" w:rsidP="00DA5E2C">
      <w:pPr>
        <w:pStyle w:val="Bodytext20"/>
        <w:shd w:val="clear" w:color="auto" w:fill="auto"/>
        <w:spacing w:before="0" w:after="160" w:line="336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1. Պետական կարգավորման արդյունավետության գնահատ</w:t>
      </w:r>
      <w:r w:rsidR="005D5FCF" w:rsidRPr="007733CA">
        <w:rPr>
          <w:rFonts w:ascii="Sylfaen" w:hAnsi="Sylfaen"/>
          <w:sz w:val="24"/>
          <w:szCs w:val="24"/>
        </w:rPr>
        <w:t>ում</w:t>
      </w:r>
      <w:r w:rsidRPr="007733CA">
        <w:rPr>
          <w:rFonts w:ascii="Sylfaen" w:hAnsi="Sylfaen"/>
          <w:sz w:val="24"/>
          <w:szCs w:val="24"/>
        </w:rPr>
        <w:t xml:space="preserve"> անցկաց</w:t>
      </w:r>
      <w:r w:rsidR="005D5FCF" w:rsidRPr="007733CA">
        <w:rPr>
          <w:rFonts w:ascii="Sylfaen" w:hAnsi="Sylfaen"/>
          <w:sz w:val="24"/>
          <w:szCs w:val="24"/>
        </w:rPr>
        <w:t>նելու</w:t>
      </w:r>
      <w:r w:rsidRPr="007733CA">
        <w:rPr>
          <w:rFonts w:ascii="Sylfaen" w:hAnsi="Sylfaen"/>
          <w:sz w:val="24"/>
          <w:szCs w:val="24"/>
        </w:rPr>
        <w:t xml:space="preserve"> առաջին փուլը</w:t>
      </w:r>
    </w:p>
    <w:p w:rsidR="00A17F3E" w:rsidRPr="007733CA" w:rsidRDefault="00AD0310" w:rsidP="00DA5E2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11.</w:t>
      </w:r>
      <w:r w:rsidR="00DA5E2C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pacing w:val="-4"/>
          <w:sz w:val="24"/>
          <w:szCs w:val="24"/>
        </w:rPr>
        <w:t>Սույն մեթոդաբանության նպատակների համար ագրոարդյունաբերական համալիրի աջակցության նպատակների սահմանման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համակարգման համար </w:t>
      </w:r>
      <w:r w:rsidR="00E63918" w:rsidRPr="007733CA">
        <w:rPr>
          <w:rFonts w:ascii="Sylfaen" w:hAnsi="Sylfaen"/>
          <w:sz w:val="24"/>
          <w:szCs w:val="24"/>
        </w:rPr>
        <w:lastRenderedPageBreak/>
        <w:t xml:space="preserve">կատարվում </w:t>
      </w:r>
      <w:r w:rsidRPr="007733CA">
        <w:rPr>
          <w:rFonts w:ascii="Sylfaen" w:hAnsi="Sylfaen"/>
          <w:sz w:val="24"/>
          <w:szCs w:val="24"/>
        </w:rPr>
        <w:t xml:space="preserve">է որոշակի ժամանակահատվածում ընդունված այն անդամ պետությունների նորմատիվ իրավական ակտերի վերլուծություն, որոնց կողմից գործողության մեջ են դրվում աջակցության այս կամ այն միջոցները։ Կախված կոնկրետ անդամ պետությունում կիրառվող՝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մեթոդներից (ծրագրային-նպատակային, նախագծային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այլն)՝ վերլուծվում են համապատասխան պետական մարմինների որոշումներ</w:t>
      </w:r>
      <w:r w:rsidR="0020672B" w:rsidRPr="007733CA">
        <w:rPr>
          <w:rFonts w:ascii="Sylfaen" w:hAnsi="Sylfaen"/>
          <w:sz w:val="24"/>
          <w:szCs w:val="24"/>
        </w:rPr>
        <w:t>ը</w:t>
      </w:r>
      <w:r w:rsidRPr="007733CA">
        <w:rPr>
          <w:rFonts w:ascii="Sylfaen" w:hAnsi="Sylfaen"/>
          <w:sz w:val="24"/>
          <w:szCs w:val="24"/>
        </w:rPr>
        <w:t xml:space="preserve">, ի հայտ են գալիս նույնանման (տիպային), փոխլրացնող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անհատական նպատակներ, որոնք</w:t>
      </w:r>
      <w:r w:rsidR="0001490F" w:rsidRPr="007733CA">
        <w:rPr>
          <w:rFonts w:ascii="Sylfaen" w:hAnsi="Sylfaen"/>
          <w:sz w:val="24"/>
          <w:szCs w:val="24"/>
        </w:rPr>
        <w:t>,</w:t>
      </w:r>
      <w:r w:rsidRPr="007733CA">
        <w:rPr>
          <w:rFonts w:ascii="Sylfaen" w:hAnsi="Sylfaen"/>
          <w:sz w:val="24"/>
          <w:szCs w:val="24"/>
        </w:rPr>
        <w:t xml:space="preserve">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աջակցության </w:t>
      </w:r>
      <w:r w:rsidR="00391DC2" w:rsidRPr="007733CA">
        <w:rPr>
          <w:rFonts w:ascii="Sylfaen" w:hAnsi="Sylfaen"/>
          <w:sz w:val="24"/>
          <w:szCs w:val="24"/>
        </w:rPr>
        <w:t>որ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391DC2" w:rsidRPr="007733CA">
        <w:rPr>
          <w:rFonts w:ascii="Sylfaen" w:hAnsi="Sylfaen"/>
          <w:sz w:val="24"/>
          <w:szCs w:val="24"/>
        </w:rPr>
        <w:t xml:space="preserve">է </w:t>
      </w:r>
      <w:r w:rsidRPr="007733CA">
        <w:rPr>
          <w:rFonts w:ascii="Sylfaen" w:hAnsi="Sylfaen"/>
          <w:sz w:val="24"/>
          <w:szCs w:val="24"/>
        </w:rPr>
        <w:t xml:space="preserve">միջոցի սահմանման </w:t>
      </w:r>
      <w:r w:rsidR="00B14D18" w:rsidRPr="007733CA">
        <w:rPr>
          <w:rFonts w:ascii="Sylfaen" w:hAnsi="Sylfaen"/>
          <w:sz w:val="24"/>
          <w:szCs w:val="24"/>
        </w:rPr>
        <w:t xml:space="preserve">հետ </w:t>
      </w:r>
      <w:r w:rsidRPr="007733CA">
        <w:rPr>
          <w:rFonts w:ascii="Sylfaen" w:hAnsi="Sylfaen"/>
          <w:sz w:val="24"/>
          <w:szCs w:val="24"/>
        </w:rPr>
        <w:t>կապ</w:t>
      </w:r>
      <w:r w:rsidR="00B14D18" w:rsidRPr="007733CA">
        <w:rPr>
          <w:rFonts w:ascii="Sylfaen" w:hAnsi="Sylfaen"/>
          <w:sz w:val="24"/>
          <w:szCs w:val="24"/>
        </w:rPr>
        <w:t>ված</w:t>
      </w:r>
      <w:r w:rsidR="0001490F" w:rsidRPr="007733CA">
        <w:rPr>
          <w:rFonts w:ascii="Sylfaen" w:hAnsi="Sylfaen"/>
          <w:sz w:val="24"/>
          <w:szCs w:val="24"/>
        </w:rPr>
        <w:t>,</w:t>
      </w:r>
      <w:r w:rsidR="00B14D18" w:rsidRPr="007733CA">
        <w:rPr>
          <w:rFonts w:ascii="Sylfaen" w:hAnsi="Sylfaen"/>
          <w:sz w:val="24"/>
          <w:szCs w:val="24"/>
        </w:rPr>
        <w:t xml:space="preserve"> նշված են տվյալ ակտերում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համակարգվում են ըստ հետ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յալ խմբերի՝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նույնանման՝ ագրոարդյունաբերական համալիրի ոլորտում զարգացման ազգային պետական ծրագրերում </w:t>
      </w:r>
      <w:r w:rsidR="00435672" w:rsidRPr="007733CA">
        <w:rPr>
          <w:rFonts w:ascii="Sylfaen" w:hAnsi="Sylfaen"/>
          <w:sz w:val="24"/>
          <w:szCs w:val="24"/>
        </w:rPr>
        <w:t xml:space="preserve">նույն իմաստն ունեցող կամ նմանատիպ </w:t>
      </w:r>
      <w:r w:rsidRPr="007733CA">
        <w:rPr>
          <w:rFonts w:ascii="Sylfaen" w:hAnsi="Sylfaen"/>
          <w:sz w:val="24"/>
          <w:szCs w:val="24"/>
        </w:rPr>
        <w:t xml:space="preserve">(այդ նպատակները հետագայում </w:t>
      </w:r>
      <w:r w:rsidR="00435672" w:rsidRPr="007733CA">
        <w:rPr>
          <w:rFonts w:ascii="Sylfaen" w:hAnsi="Sylfaen"/>
          <w:sz w:val="24"/>
          <w:szCs w:val="24"/>
        </w:rPr>
        <w:t>դիտվում են որպես</w:t>
      </w:r>
      <w:r w:rsidRPr="007733CA">
        <w:rPr>
          <w:rFonts w:ascii="Sylfaen" w:hAnsi="Sylfaen"/>
          <w:sz w:val="24"/>
          <w:szCs w:val="24"/>
        </w:rPr>
        <w:t xml:space="preserve"> ընդհանուր տիպային նպատակներ).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փոխլրացնող՝ Միությունում համատեղ նախագծեր իրագործելիս համապատասխան նպատակների շրջանակներում փոխլրացնող խնդիրների լուծում ենթադրող.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անհատական (</w:t>
      </w:r>
      <w:r w:rsidR="00665DDE" w:rsidRPr="007733CA">
        <w:rPr>
          <w:rFonts w:ascii="Sylfaen" w:hAnsi="Sylfaen"/>
          <w:sz w:val="24"/>
          <w:szCs w:val="24"/>
        </w:rPr>
        <w:t>յուրա</w:t>
      </w:r>
      <w:r w:rsidRPr="007733CA">
        <w:rPr>
          <w:rFonts w:ascii="Sylfaen" w:hAnsi="Sylfaen"/>
          <w:sz w:val="24"/>
          <w:szCs w:val="24"/>
        </w:rPr>
        <w:t xml:space="preserve">հատուկ)՝ զարգացման </w:t>
      </w:r>
      <w:r w:rsidR="00665DDE" w:rsidRPr="007733CA">
        <w:rPr>
          <w:rFonts w:ascii="Sylfaen" w:hAnsi="Sylfaen"/>
          <w:sz w:val="24"/>
          <w:szCs w:val="24"/>
        </w:rPr>
        <w:t xml:space="preserve">տրված </w:t>
      </w:r>
      <w:r w:rsidRPr="007733CA">
        <w:rPr>
          <w:rFonts w:ascii="Sylfaen" w:hAnsi="Sylfaen"/>
          <w:sz w:val="24"/>
          <w:szCs w:val="24"/>
        </w:rPr>
        <w:t xml:space="preserve">ժամանակահատվածում </w:t>
      </w:r>
      <w:r w:rsidR="00665DDE" w:rsidRPr="007733CA">
        <w:rPr>
          <w:rFonts w:ascii="Sylfaen" w:hAnsi="Sylfaen"/>
          <w:sz w:val="24"/>
          <w:szCs w:val="24"/>
        </w:rPr>
        <w:t xml:space="preserve">անդամ պետությունների կողմից որպես </w:t>
      </w:r>
      <w:r w:rsidRPr="007733CA">
        <w:rPr>
          <w:rFonts w:ascii="Sylfaen" w:hAnsi="Sylfaen"/>
          <w:sz w:val="24"/>
          <w:szCs w:val="24"/>
        </w:rPr>
        <w:t>անհրաժեշտ</w:t>
      </w:r>
      <w:r w:rsidR="00665DDE" w:rsidRPr="007733CA">
        <w:rPr>
          <w:rFonts w:ascii="Sylfaen" w:hAnsi="Sylfaen"/>
          <w:sz w:val="24"/>
          <w:szCs w:val="24"/>
        </w:rPr>
        <w:t xml:space="preserve"> սահմանված</w:t>
      </w:r>
      <w:r w:rsidRPr="007733CA">
        <w:rPr>
          <w:rFonts w:ascii="Sylfaen" w:hAnsi="Sylfaen"/>
          <w:sz w:val="24"/>
          <w:szCs w:val="24"/>
        </w:rPr>
        <w:t xml:space="preserve"> նպատակներ։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Այն դեպքում, երբ նպատակն ուղղակիորեն նշված չէ, ուսումնասիրվում է ագրոարդյունաբերական համալիրի աջակցության միջոցների իրագործման համար օգտագործվող գործիքների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մեխանիզմների տնտեսական բնույթը՝ հաշվի առնելով միջազգային </w:t>
      </w:r>
      <w:r w:rsidR="00EB5E96" w:rsidRPr="007733CA">
        <w:rPr>
          <w:rFonts w:ascii="Sylfaen" w:hAnsi="Sylfaen"/>
          <w:sz w:val="24"/>
          <w:szCs w:val="24"/>
        </w:rPr>
        <w:t xml:space="preserve">այն </w:t>
      </w:r>
      <w:r w:rsidRPr="007733CA">
        <w:rPr>
          <w:rFonts w:ascii="Sylfaen" w:hAnsi="Sylfaen"/>
          <w:sz w:val="24"/>
          <w:szCs w:val="24"/>
        </w:rPr>
        <w:t xml:space="preserve">համաձայնագրերի նորմերը, որոնց միացել են անդամ պետությունները,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միջազգային իրավունքի այլ նորմեր (օրինակ՝ եթե պետությունը գտնվում է միանալու գործընթացում)։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միջոցների արդյունավետությունը հարաբերակցվում է կարգավորման </w:t>
      </w:r>
      <w:r w:rsidR="00EB5E96" w:rsidRPr="007733CA">
        <w:rPr>
          <w:rFonts w:ascii="Sylfaen" w:hAnsi="Sylfaen"/>
          <w:sz w:val="24"/>
          <w:szCs w:val="24"/>
        </w:rPr>
        <w:t xml:space="preserve">(միջոցներ </w:t>
      </w:r>
      <w:r w:rsidR="00EB5E96" w:rsidRPr="007733CA">
        <w:rPr>
          <w:rFonts w:ascii="Sylfaen" w:hAnsi="Sylfaen"/>
          <w:sz w:val="24"/>
          <w:szCs w:val="24"/>
        </w:rPr>
        <w:lastRenderedPageBreak/>
        <w:t xml:space="preserve">ձեռնարկելու)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աջակցության նպատակներին հասնելը կամ չհասնելը սահմանելու հետ։ Համապատասխանաբար, գնահատման օբյեկտներն են նպատակները, իսկ առարկան՝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աջակցության միջոցները։</w:t>
      </w:r>
    </w:p>
    <w:p w:rsidR="00A17F3E" w:rsidRPr="007733CA" w:rsidRDefault="00AD0310" w:rsidP="00DA5E2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12.</w:t>
      </w:r>
      <w:r w:rsidR="00DA5E2C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Վերլուծությունը կարող է </w:t>
      </w:r>
      <w:r w:rsidR="00D57765" w:rsidRPr="007733CA">
        <w:rPr>
          <w:rFonts w:ascii="Sylfaen" w:hAnsi="Sylfaen"/>
          <w:sz w:val="24"/>
          <w:szCs w:val="24"/>
        </w:rPr>
        <w:t xml:space="preserve">կատարվել </w:t>
      </w:r>
      <w:r w:rsidRPr="007733CA">
        <w:rPr>
          <w:rFonts w:ascii="Sylfaen" w:hAnsi="Sylfaen"/>
          <w:sz w:val="24"/>
          <w:szCs w:val="24"/>
        </w:rPr>
        <w:t xml:space="preserve">ինչպես ընդհանուր առմամբ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քաղաքականությ</w:t>
      </w:r>
      <w:r w:rsidR="0077056E" w:rsidRPr="007733CA">
        <w:rPr>
          <w:rFonts w:ascii="Sylfaen" w:hAnsi="Sylfaen"/>
          <w:sz w:val="24"/>
          <w:szCs w:val="24"/>
        </w:rPr>
        <w:t>ու</w:t>
      </w:r>
      <w:r w:rsidRPr="007733CA">
        <w:rPr>
          <w:rFonts w:ascii="Sylfaen" w:hAnsi="Sylfaen"/>
          <w:sz w:val="24"/>
          <w:szCs w:val="24"/>
        </w:rPr>
        <w:t>ն</w:t>
      </w:r>
      <w:r w:rsidR="0077056E" w:rsidRPr="007733CA">
        <w:rPr>
          <w:rFonts w:ascii="Sylfaen" w:hAnsi="Sylfaen"/>
          <w:sz w:val="24"/>
          <w:szCs w:val="24"/>
        </w:rPr>
        <w:t>ն առավել</w:t>
      </w:r>
      <w:r w:rsidRPr="007733CA">
        <w:rPr>
          <w:rFonts w:ascii="Sylfaen" w:hAnsi="Sylfaen"/>
          <w:sz w:val="24"/>
          <w:szCs w:val="24"/>
        </w:rPr>
        <w:t xml:space="preserve"> արդյունավետ </w:t>
      </w:r>
      <w:r w:rsidR="0077056E" w:rsidRPr="007733CA">
        <w:rPr>
          <w:rFonts w:ascii="Sylfaen" w:hAnsi="Sylfaen"/>
          <w:sz w:val="24"/>
          <w:szCs w:val="24"/>
        </w:rPr>
        <w:t xml:space="preserve">իրականացնելուն </w:t>
      </w:r>
      <w:r w:rsidRPr="007733CA">
        <w:rPr>
          <w:rFonts w:ascii="Sylfaen" w:hAnsi="Sylfaen"/>
          <w:sz w:val="24"/>
          <w:szCs w:val="24"/>
        </w:rPr>
        <w:t>նպաստող միջոցներով</w:t>
      </w:r>
      <w:r w:rsidR="00791C59" w:rsidRPr="007733CA">
        <w:rPr>
          <w:rFonts w:ascii="Sylfaen" w:hAnsi="Sylfaen"/>
          <w:sz w:val="24"/>
          <w:szCs w:val="24"/>
        </w:rPr>
        <w:t>՝</w:t>
      </w:r>
      <w:r w:rsidRPr="007733CA">
        <w:rPr>
          <w:rFonts w:ascii="Sylfaen" w:hAnsi="Sylfaen"/>
          <w:sz w:val="24"/>
          <w:szCs w:val="24"/>
        </w:rPr>
        <w:t xml:space="preserve"> հաշվի առնելով դրանց զարգացման բոլոր նպատակները, այսինքն՝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աջակցության կիրառվող միջոցների ամբողջությունը, այնպես էլ ագրոպարենային շուկայի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զարգացման առանձին նպատակներին հասնելուն ուղղված միջոցներով (ընդ որում</w:t>
      </w:r>
      <w:r w:rsidR="000B4744" w:rsidRPr="007733CA">
        <w:rPr>
          <w:rFonts w:ascii="Sylfaen" w:hAnsi="Sylfaen"/>
          <w:sz w:val="24"/>
          <w:szCs w:val="24"/>
        </w:rPr>
        <w:t>,</w:t>
      </w:r>
      <w:r w:rsidRPr="007733CA">
        <w:rPr>
          <w:rFonts w:ascii="Sylfaen" w:hAnsi="Sylfaen"/>
          <w:sz w:val="24"/>
          <w:szCs w:val="24"/>
        </w:rPr>
        <w:t xml:space="preserve"> մեկ միջոցը կարող է ապահովել միաժամանակ մի քանի նպատակների իրագործումը)։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left="1160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Օրինակ. «Պարենային անկախության ապահովում» նպատակը սահմանում են ոչ</w:t>
      </w:r>
      <w:r w:rsidR="003F6662" w:rsidRPr="007733CA">
        <w:rPr>
          <w:rFonts w:ascii="Sylfaen" w:hAnsi="Sylfaen"/>
          <w:sz w:val="24"/>
          <w:szCs w:val="24"/>
        </w:rPr>
        <w:t> </w:t>
      </w:r>
      <w:r w:rsidRPr="007733CA">
        <w:rPr>
          <w:rFonts w:ascii="Sylfaen" w:hAnsi="Sylfaen"/>
          <w:sz w:val="24"/>
          <w:szCs w:val="24"/>
        </w:rPr>
        <w:t>միայն առանձին պետությունները, այլ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միջազգային կազմակերպությունները, որոնք զբաղվում են աշխարհում սննդի բարելավման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սովի ու աղքատության վերացման խնդիրներով։ Սակայն կա տարբերություն ինչպես հենց նպատակի էությունը հասկանալու մեջ, այնպես էլ այն բանի, թե ինչ միջոցներով է հնարավոր հասնել տվյալ նպատակին։ Այսպիսով, պետությունը սահմանում է նշված նպատակին հասնելը որպես ներքին պահանջարկի բավարարում ազգային արտադրողների աջակցության միջոցների իրագործման հաշվին՝ </w:t>
      </w:r>
      <w:r w:rsidR="005218A6" w:rsidRPr="007733CA">
        <w:rPr>
          <w:rFonts w:ascii="Sylfaen" w:hAnsi="Sylfaen"/>
          <w:sz w:val="24"/>
          <w:szCs w:val="24"/>
        </w:rPr>
        <w:t xml:space="preserve">այդպիսով </w:t>
      </w:r>
      <w:r w:rsidRPr="007733CA">
        <w:rPr>
          <w:rFonts w:ascii="Sylfaen" w:hAnsi="Sylfaen"/>
          <w:sz w:val="24"/>
          <w:szCs w:val="24"/>
        </w:rPr>
        <w:t xml:space="preserve">ըստ էության </w:t>
      </w:r>
      <w:r w:rsidR="005218A6" w:rsidRPr="007733CA">
        <w:rPr>
          <w:rFonts w:ascii="Sylfaen" w:hAnsi="Sylfaen"/>
          <w:sz w:val="24"/>
          <w:szCs w:val="24"/>
        </w:rPr>
        <w:t xml:space="preserve">պահպանելով </w:t>
      </w:r>
      <w:r w:rsidRPr="007733CA">
        <w:rPr>
          <w:rFonts w:ascii="Sylfaen" w:hAnsi="Sylfaen"/>
          <w:sz w:val="24"/>
          <w:szCs w:val="24"/>
        </w:rPr>
        <w:t>ազգային անկախությունը։ Մի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նույն ժամանակ անկախությունն ամբողջությամբ </w:t>
      </w:r>
      <w:r w:rsidR="005218A6" w:rsidRPr="007733CA">
        <w:rPr>
          <w:rFonts w:ascii="Sylfaen" w:hAnsi="Sylfaen"/>
          <w:sz w:val="24"/>
          <w:szCs w:val="24"/>
        </w:rPr>
        <w:t xml:space="preserve">հանվում </w:t>
      </w:r>
      <w:r w:rsidRPr="007733CA">
        <w:rPr>
          <w:rFonts w:ascii="Sylfaen" w:hAnsi="Sylfaen"/>
          <w:sz w:val="24"/>
          <w:szCs w:val="24"/>
        </w:rPr>
        <w:t xml:space="preserve">է «անվտանգություն» հասկացությունից, քանի որ Միավորված ազգերի կազմակերպության պարենի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գյուղատնտեսության կազմակերպությամբ (ՖԱՕ) կոնցեպտուալ կերպով ամրագրվել է, որ պարենային անվտանգությունը բնակչության համար անվտանգ պարենի հասանելիության (ֆիզիկական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տնտեսական) </w:t>
      </w:r>
      <w:r w:rsidRPr="007733CA">
        <w:rPr>
          <w:rFonts w:ascii="Sylfaen" w:hAnsi="Sylfaen"/>
          <w:sz w:val="24"/>
          <w:szCs w:val="24"/>
        </w:rPr>
        <w:lastRenderedPageBreak/>
        <w:t>ապահովումն</w:t>
      </w:r>
      <w:r w:rsidR="003F6662" w:rsidRPr="007733CA">
        <w:rPr>
          <w:rFonts w:ascii="Sylfaen" w:hAnsi="Sylfaen"/>
          <w:sz w:val="24"/>
          <w:szCs w:val="24"/>
        </w:rPr>
        <w:t> </w:t>
      </w:r>
      <w:r w:rsidRPr="007733CA">
        <w:rPr>
          <w:rFonts w:ascii="Sylfaen" w:hAnsi="Sylfaen"/>
          <w:sz w:val="24"/>
          <w:szCs w:val="24"/>
        </w:rPr>
        <w:t>է, այլ ոչ թե ինքնաապահովումը։ ՖԱՕ-ի սահմանմամբ ցանկացած պետությ</w:t>
      </w:r>
      <w:r w:rsidR="005218A6" w:rsidRPr="007733CA">
        <w:rPr>
          <w:rFonts w:ascii="Sylfaen" w:hAnsi="Sylfaen"/>
          <w:sz w:val="24"/>
          <w:szCs w:val="24"/>
        </w:rPr>
        <w:t xml:space="preserve">ունում </w:t>
      </w:r>
      <w:r w:rsidRPr="007733CA">
        <w:rPr>
          <w:rFonts w:ascii="Sylfaen" w:hAnsi="Sylfaen"/>
          <w:sz w:val="24"/>
          <w:szCs w:val="24"/>
        </w:rPr>
        <w:t>ազգային արտադրությունը պետք է զարգացած լինի այն մակարդակով, որի դեպքում</w:t>
      </w:r>
      <w:r w:rsidR="000B4744" w:rsidRPr="007733CA">
        <w:rPr>
          <w:rFonts w:ascii="Sylfaen" w:hAnsi="Sylfaen"/>
          <w:sz w:val="24"/>
          <w:szCs w:val="24"/>
        </w:rPr>
        <w:t>,</w:t>
      </w:r>
      <w:r w:rsidRPr="007733CA">
        <w:rPr>
          <w:rFonts w:ascii="Sylfaen" w:hAnsi="Sylfaen"/>
          <w:sz w:val="24"/>
          <w:szCs w:val="24"/>
        </w:rPr>
        <w:t xml:space="preserve"> հաշվի առնելով համեմատական առավելությունները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աշխատանքի միջազգային բաժանումը</w:t>
      </w:r>
      <w:r w:rsidR="000B4744" w:rsidRPr="007733CA">
        <w:rPr>
          <w:rFonts w:ascii="Sylfaen" w:hAnsi="Sylfaen"/>
          <w:sz w:val="24"/>
          <w:szCs w:val="24"/>
        </w:rPr>
        <w:t>,</w:t>
      </w:r>
      <w:r w:rsidRPr="007733CA">
        <w:rPr>
          <w:rFonts w:ascii="Sylfaen" w:hAnsi="Sylfaen"/>
          <w:sz w:val="24"/>
          <w:szCs w:val="24"/>
        </w:rPr>
        <w:t xml:space="preserve"> կարիքների ամբողջական բավարարումն ապահովվում է մեծամասամբ ներմուծման հաշվին։</w:t>
      </w:r>
    </w:p>
    <w:p w:rsidR="00A17F3E" w:rsidRPr="007733CA" w:rsidRDefault="00AD0310" w:rsidP="003F66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13.</w:t>
      </w:r>
      <w:r w:rsidR="003F666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այն միջոցների ամբողջության վերլուծությունը, որոնք կիրառվում են փոխլրացնող նպատակներին հասնելու համար, </w:t>
      </w:r>
      <w:r w:rsidR="005218A6" w:rsidRPr="007733CA">
        <w:rPr>
          <w:rFonts w:ascii="Sylfaen" w:hAnsi="Sylfaen"/>
          <w:sz w:val="24"/>
          <w:szCs w:val="24"/>
        </w:rPr>
        <w:t xml:space="preserve">կատարվում </w:t>
      </w:r>
      <w:r w:rsidRPr="007733CA">
        <w:rPr>
          <w:rFonts w:ascii="Sylfaen" w:hAnsi="Sylfaen"/>
          <w:sz w:val="24"/>
          <w:szCs w:val="24"/>
        </w:rPr>
        <w:t>է անդամ պետությունների համատեղ այն ծրագրերի իրագործման նկատմամբ, որոնցում դրանք ամրագրված են։</w:t>
      </w:r>
    </w:p>
    <w:p w:rsidR="00A17F3E" w:rsidRPr="007733CA" w:rsidRDefault="00AD0310" w:rsidP="003F66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14.</w:t>
      </w:r>
      <w:r w:rsidR="003F666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այն միջոցների ամբողջության վերլուծությունը, որոնք կիրառվում են անհատական (</w:t>
      </w:r>
      <w:r w:rsidR="005218A6" w:rsidRPr="007733CA">
        <w:rPr>
          <w:rFonts w:ascii="Sylfaen" w:hAnsi="Sylfaen"/>
          <w:sz w:val="24"/>
          <w:szCs w:val="24"/>
        </w:rPr>
        <w:t>յուրա</w:t>
      </w:r>
      <w:r w:rsidRPr="007733CA">
        <w:rPr>
          <w:rFonts w:ascii="Sylfaen" w:hAnsi="Sylfaen"/>
          <w:sz w:val="24"/>
          <w:szCs w:val="24"/>
        </w:rPr>
        <w:t xml:space="preserve">հատուկ) նպատակներին հասնելու համար, </w:t>
      </w:r>
      <w:r w:rsidR="005218A6" w:rsidRPr="007733CA">
        <w:rPr>
          <w:rFonts w:ascii="Sylfaen" w:hAnsi="Sylfaen"/>
          <w:sz w:val="24"/>
          <w:szCs w:val="24"/>
        </w:rPr>
        <w:t xml:space="preserve">կատարվում </w:t>
      </w:r>
      <w:r w:rsidRPr="007733CA">
        <w:rPr>
          <w:rFonts w:ascii="Sylfaen" w:hAnsi="Sylfaen"/>
          <w:sz w:val="24"/>
          <w:szCs w:val="24"/>
        </w:rPr>
        <w:t>է առանձին անդամ պետությունում որոշակի ժամանակահատվածում ընդունված համապատասխան որոշումների նկատմամբ։</w:t>
      </w:r>
    </w:p>
    <w:p w:rsidR="0040758F" w:rsidRPr="007733CA" w:rsidRDefault="0040758F" w:rsidP="003F666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17F3E" w:rsidRPr="007733CA" w:rsidRDefault="00AD0310" w:rsidP="00AA65B4">
      <w:pPr>
        <w:pStyle w:val="Bodytext20"/>
        <w:shd w:val="clear" w:color="auto" w:fill="auto"/>
        <w:spacing w:before="0" w:after="160" w:line="360" w:lineRule="auto"/>
        <w:ind w:left="1134" w:right="1126" w:hanging="8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2. Պետական կարգավորման արդյունավետության գնահատ</w:t>
      </w:r>
      <w:r w:rsidR="005218A6" w:rsidRPr="007733CA">
        <w:rPr>
          <w:rFonts w:ascii="Sylfaen" w:hAnsi="Sylfaen"/>
          <w:sz w:val="24"/>
          <w:szCs w:val="24"/>
        </w:rPr>
        <w:t>ում</w:t>
      </w:r>
      <w:r w:rsidRPr="007733CA">
        <w:rPr>
          <w:rFonts w:ascii="Sylfaen" w:hAnsi="Sylfaen"/>
          <w:sz w:val="24"/>
          <w:szCs w:val="24"/>
        </w:rPr>
        <w:t xml:space="preserve"> անցկաց</w:t>
      </w:r>
      <w:r w:rsidR="005218A6" w:rsidRPr="007733CA">
        <w:rPr>
          <w:rFonts w:ascii="Sylfaen" w:hAnsi="Sylfaen"/>
          <w:sz w:val="24"/>
          <w:szCs w:val="24"/>
        </w:rPr>
        <w:t>նելու</w:t>
      </w:r>
      <w:r w:rsidRPr="007733CA">
        <w:rPr>
          <w:rFonts w:ascii="Sylfaen" w:hAnsi="Sylfaen"/>
          <w:sz w:val="24"/>
          <w:szCs w:val="24"/>
        </w:rPr>
        <w:t xml:space="preserve"> երկրորդ փուլը</w:t>
      </w:r>
    </w:p>
    <w:p w:rsidR="00A17F3E" w:rsidRPr="007733CA" w:rsidRDefault="00AD0310" w:rsidP="003F66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15.</w:t>
      </w:r>
      <w:r w:rsidR="003F666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Նպատակները </w:t>
      </w:r>
      <w:r w:rsidR="005218A6" w:rsidRPr="007733CA">
        <w:rPr>
          <w:rFonts w:ascii="Sylfaen" w:hAnsi="Sylfaen"/>
          <w:sz w:val="24"/>
          <w:szCs w:val="24"/>
        </w:rPr>
        <w:t xml:space="preserve">որպես </w:t>
      </w:r>
      <w:r w:rsidRPr="007733CA">
        <w:rPr>
          <w:rFonts w:ascii="Sylfaen" w:hAnsi="Sylfaen"/>
          <w:sz w:val="24"/>
          <w:szCs w:val="24"/>
        </w:rPr>
        <w:t>նույնանման (տիպային) նպատակներ</w:t>
      </w:r>
      <w:r w:rsidR="005218A6" w:rsidRPr="007733CA">
        <w:rPr>
          <w:rFonts w:ascii="Sylfaen" w:hAnsi="Sylfaen"/>
          <w:sz w:val="24"/>
          <w:szCs w:val="24"/>
        </w:rPr>
        <w:t xml:space="preserve"> դիտելը</w:t>
      </w:r>
      <w:r w:rsidRPr="007733CA">
        <w:rPr>
          <w:rFonts w:ascii="Sylfaen" w:hAnsi="Sylfaen"/>
          <w:sz w:val="24"/>
          <w:szCs w:val="24"/>
        </w:rPr>
        <w:t xml:space="preserve"> հիմնավորված է ագրոպարենային շուկայի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զարգացման առանցքային ուղղությունների </w:t>
      </w:r>
      <w:r w:rsidR="005218A6" w:rsidRPr="007733CA">
        <w:rPr>
          <w:rFonts w:ascii="Sylfaen" w:hAnsi="Sylfaen"/>
          <w:sz w:val="24"/>
          <w:szCs w:val="24"/>
        </w:rPr>
        <w:t xml:space="preserve">առումով </w:t>
      </w:r>
      <w:r w:rsidRPr="007733CA">
        <w:rPr>
          <w:rFonts w:ascii="Sylfaen" w:hAnsi="Sylfaen"/>
          <w:sz w:val="24"/>
          <w:szCs w:val="24"/>
        </w:rPr>
        <w:t>դրանց համապարփակ բնույթով՝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ագրոպարենային շուկայի ապահովման հետ կապված ռազմավարական խնդիրներ</w:t>
      </w:r>
      <w:r w:rsidR="005218A6" w:rsidRPr="007733CA">
        <w:rPr>
          <w:rFonts w:ascii="Sylfaen" w:hAnsi="Sylfaen"/>
          <w:sz w:val="24"/>
          <w:szCs w:val="24"/>
        </w:rPr>
        <w:t>ի</w:t>
      </w:r>
      <w:r w:rsidRPr="007733CA">
        <w:rPr>
          <w:rFonts w:ascii="Sylfaen" w:hAnsi="Sylfaen"/>
          <w:sz w:val="24"/>
          <w:szCs w:val="24"/>
        </w:rPr>
        <w:t xml:space="preserve"> լուծում.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ագրոարդյունաբերական համալիրի արտադրական բազայի զարգացում.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lastRenderedPageBreak/>
        <w:t xml:space="preserve">ֆինանսական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նյութական ռեսուրսների ռացիոնալ օգտագործում.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ագրոարդյունաբերական համալիրի ձեռնարկությունների կայուն առ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տրային գործունեության պայմանների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ֆինանսական կայունության ստեղծում։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Այ</w:t>
      </w:r>
      <w:r w:rsidR="00E34720" w:rsidRPr="007733CA">
        <w:rPr>
          <w:rFonts w:ascii="Sylfaen" w:hAnsi="Sylfaen"/>
          <w:sz w:val="24"/>
          <w:szCs w:val="24"/>
        </w:rPr>
        <w:t>ս</w:t>
      </w:r>
      <w:r w:rsidRPr="007733CA">
        <w:rPr>
          <w:rFonts w:ascii="Sylfaen" w:hAnsi="Sylfaen"/>
          <w:sz w:val="24"/>
          <w:szCs w:val="24"/>
        </w:rPr>
        <w:t xml:space="preserve">պիսով, տիպային նպատակների իրագործման արդյունքները ցույց են տալիս ագրոպարենային շուկայի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զարգացման ընդհանուր ֆինանասատնտեսական, նյութատեխնիկական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ռազմավարական </w:t>
      </w:r>
      <w:r w:rsidR="00114195" w:rsidRPr="007733CA">
        <w:rPr>
          <w:rFonts w:ascii="Sylfaen" w:hAnsi="Sylfaen"/>
          <w:sz w:val="24"/>
          <w:szCs w:val="24"/>
        </w:rPr>
        <w:t xml:space="preserve">հանրագումարը </w:t>
      </w:r>
      <w:r w:rsidRPr="007733CA">
        <w:rPr>
          <w:rFonts w:ascii="Sylfaen" w:hAnsi="Sylfaen"/>
          <w:sz w:val="24"/>
          <w:szCs w:val="24"/>
        </w:rPr>
        <w:t xml:space="preserve">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աջակցության միջոցների կիրառման արդյունքում։</w:t>
      </w:r>
    </w:p>
    <w:p w:rsidR="00A17F3E" w:rsidRPr="007733CA" w:rsidRDefault="00AD0310" w:rsidP="0059153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16.</w:t>
      </w:r>
      <w:r w:rsidR="0059153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Անդամ պետություններում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միջոցների արդյունավետության գնահատում անցկացնելու համար նմանատիպ նպատակների 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ավորված խմբից միջնաժամկետում առանձնացվում են հետ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յալ ընդհանուր (տիպային) նպատակները՝</w:t>
      </w:r>
    </w:p>
    <w:p w:rsidR="00A17F3E" w:rsidRPr="007733CA" w:rsidRDefault="00AD0310" w:rsidP="0059153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1)</w:t>
      </w:r>
      <w:r w:rsidR="0059153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>պարենային անկախության ապահովում,</w:t>
      </w:r>
    </w:p>
    <w:p w:rsidR="00A17F3E" w:rsidRPr="007733CA" w:rsidRDefault="00AD0310" w:rsidP="0059153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2)</w:t>
      </w:r>
      <w:r w:rsidR="0059153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>ֆինանսական կայունության բարձրացում,</w:t>
      </w:r>
    </w:p>
    <w:p w:rsidR="00A17F3E" w:rsidRPr="007733CA" w:rsidRDefault="00AD0310" w:rsidP="0059153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3)</w:t>
      </w:r>
      <w:r w:rsidR="0059153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>գյուղական տարածքների կայուն զարգացում,</w:t>
      </w:r>
    </w:p>
    <w:p w:rsidR="00A17F3E" w:rsidRPr="007733CA" w:rsidRDefault="00AD0310" w:rsidP="0059153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4)</w:t>
      </w:r>
      <w:r w:rsidR="0059153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ռեսուրսների վերարտադրություն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օգտագործման արդյունավետության բարձրացում,</w:t>
      </w:r>
    </w:p>
    <w:p w:rsidR="00A17F3E" w:rsidRPr="007733CA" w:rsidRDefault="00AD0310" w:rsidP="0059153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5)</w:t>
      </w:r>
      <w:r w:rsidR="0059153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գյուղատնտեսական արտադրանքի </w:t>
      </w:r>
      <w:r w:rsidR="00405E1A" w:rsidRPr="007733CA">
        <w:rPr>
          <w:rFonts w:ascii="Sylfaen" w:hAnsi="Sylfaen"/>
          <w:sz w:val="24"/>
          <w:szCs w:val="24"/>
        </w:rPr>
        <w:t xml:space="preserve">իրացման </w:t>
      </w:r>
      <w:r w:rsidRPr="007733CA">
        <w:rPr>
          <w:rFonts w:ascii="Sylfaen" w:hAnsi="Sylfaen"/>
          <w:sz w:val="24"/>
          <w:szCs w:val="24"/>
        </w:rPr>
        <w:t>ապահովում, դրա ապրանքայնության բարձրացում,</w:t>
      </w:r>
    </w:p>
    <w:p w:rsidR="00A17F3E" w:rsidRPr="007733CA" w:rsidRDefault="00AD0310" w:rsidP="00591532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6)</w:t>
      </w:r>
      <w:r w:rsidR="00591532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>ագրոպարենային շուկայի ենթակառուցվածքի զարգացման աջակցու</w:t>
      </w:r>
      <w:r w:rsidR="00405E1A" w:rsidRPr="007733CA">
        <w:rPr>
          <w:rFonts w:ascii="Sylfaen" w:hAnsi="Sylfaen"/>
          <w:sz w:val="24"/>
          <w:szCs w:val="24"/>
        </w:rPr>
        <w:t>թյուն</w:t>
      </w:r>
      <w:r w:rsidRPr="007733CA">
        <w:rPr>
          <w:rFonts w:ascii="Sylfaen" w:hAnsi="Sylfaen"/>
          <w:sz w:val="24"/>
          <w:szCs w:val="24"/>
        </w:rPr>
        <w:t>։</w:t>
      </w:r>
    </w:p>
    <w:p w:rsidR="00A17F3E" w:rsidRPr="007733CA" w:rsidRDefault="00AD0310" w:rsidP="008F7319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17.</w:t>
      </w:r>
      <w:r w:rsidR="004A424C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Տիպային նպատակները կարող են ճշգրտվել նմանատիպ նպատակների </w:t>
      </w:r>
      <w:r w:rsidR="00114195" w:rsidRPr="007733CA">
        <w:rPr>
          <w:rFonts w:ascii="Sylfaen" w:hAnsi="Sylfaen"/>
          <w:sz w:val="24"/>
          <w:szCs w:val="24"/>
        </w:rPr>
        <w:t xml:space="preserve">վերլուծության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114195"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t>խմբերի 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ավորման առաջին փուլի արդյունքում։ Տիպային</w:t>
      </w:r>
      <w:r w:rsidR="004A424C" w:rsidRPr="007733CA">
        <w:rPr>
          <w:rFonts w:ascii="Sylfaen" w:hAnsi="Sylfaen"/>
          <w:sz w:val="24"/>
          <w:szCs w:val="24"/>
        </w:rPr>
        <w:t> </w:t>
      </w:r>
      <w:r w:rsidRPr="007733CA">
        <w:rPr>
          <w:rFonts w:ascii="Sylfaen" w:hAnsi="Sylfaen"/>
          <w:sz w:val="24"/>
          <w:szCs w:val="24"/>
        </w:rPr>
        <w:t xml:space="preserve">նպատակների փոփոխությունն արտացոլում է շուկաներում գլոբալ </w:t>
      </w:r>
      <w:r w:rsidRPr="007733CA">
        <w:rPr>
          <w:rFonts w:ascii="Sylfaen" w:hAnsi="Sylfaen"/>
          <w:sz w:val="24"/>
          <w:szCs w:val="24"/>
        </w:rPr>
        <w:lastRenderedPageBreak/>
        <w:t xml:space="preserve">տեղաշարժերը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աջակցության համապատասխան միջոցների կիրառման </w:t>
      </w:r>
      <w:r w:rsidR="00114195" w:rsidRPr="007733CA">
        <w:rPr>
          <w:rFonts w:ascii="Sylfaen" w:hAnsi="Sylfaen"/>
          <w:sz w:val="24"/>
          <w:szCs w:val="24"/>
        </w:rPr>
        <w:t>առումով անդամ պետությունների պատասխան որոշումները</w:t>
      </w:r>
      <w:r w:rsidRPr="007733CA">
        <w:rPr>
          <w:rFonts w:ascii="Sylfaen" w:hAnsi="Sylfaen"/>
          <w:sz w:val="24"/>
          <w:szCs w:val="24"/>
        </w:rPr>
        <w:t xml:space="preserve">, որոնք արտացոլվում են պետական ծրագրերում, նախագծերում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(կամ) անդամ պետությունների պետական մարմինների կողմից ընդունվող կարգավորող որոշումների ամբողջության մեջ։</w:t>
      </w:r>
    </w:p>
    <w:p w:rsidR="00A17F3E" w:rsidRPr="007733CA" w:rsidRDefault="00AD0310" w:rsidP="008F7319">
      <w:pPr>
        <w:pStyle w:val="Bodytext20"/>
        <w:shd w:val="clear" w:color="auto" w:fill="auto"/>
        <w:tabs>
          <w:tab w:val="left" w:pos="1134"/>
        </w:tabs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18.</w:t>
      </w:r>
      <w:r w:rsidR="004A424C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>Ագրոարդյունաբերական համալիրի աջակցության նպատակին հասնել</w:t>
      </w:r>
      <w:r w:rsidR="00D82562" w:rsidRPr="007733CA">
        <w:rPr>
          <w:rFonts w:ascii="Sylfaen" w:hAnsi="Sylfaen"/>
          <w:sz w:val="24"/>
          <w:szCs w:val="24"/>
        </w:rPr>
        <w:t>ը</w:t>
      </w:r>
      <w:r w:rsidRPr="007733CA">
        <w:rPr>
          <w:rFonts w:ascii="Sylfaen" w:hAnsi="Sylfaen"/>
          <w:sz w:val="24"/>
          <w:szCs w:val="24"/>
        </w:rPr>
        <w:t xml:space="preserve"> սահմանվում է հետ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յալ չափորոշիչներին համապատասխան՝</w:t>
      </w:r>
    </w:p>
    <w:p w:rsidR="00A17F3E" w:rsidRPr="007733CA" w:rsidRDefault="00DD4FDA" w:rsidP="008F7319">
      <w:pPr>
        <w:pStyle w:val="Bodytext20"/>
        <w:shd w:val="clear" w:color="auto" w:fill="auto"/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արդյունավորությունը՝ որքանով են նպատակներն իրագործվել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խնդիրները կատարվել, որ հիմնական գործոններն են ազդում նպատակին հասնելու կամ չհասնելու վրա.</w:t>
      </w:r>
    </w:p>
    <w:p w:rsidR="00A17F3E" w:rsidRPr="007733CA" w:rsidRDefault="004F01A6" w:rsidP="008F7319">
      <w:pPr>
        <w:pStyle w:val="Bodytext20"/>
        <w:shd w:val="clear" w:color="auto" w:fill="auto"/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օպտիմալությունը</w:t>
      </w:r>
      <w:r w:rsidR="00DD4FDA" w:rsidRPr="007733CA">
        <w:rPr>
          <w:rFonts w:ascii="Sylfaen" w:hAnsi="Sylfaen"/>
          <w:sz w:val="24"/>
          <w:szCs w:val="24"/>
        </w:rPr>
        <w:t>՝ որքան օպտիմալ են օգտագործվել ռեսուրսներն արդյունքների հասնելու համար, արդյոք արդյունքներ</w:t>
      </w:r>
      <w:r w:rsidR="0027051A" w:rsidRPr="007733CA">
        <w:rPr>
          <w:rFonts w:ascii="Sylfaen" w:hAnsi="Sylfaen"/>
          <w:sz w:val="24"/>
          <w:szCs w:val="24"/>
        </w:rPr>
        <w:t>ին</w:t>
      </w:r>
      <w:r w:rsidR="00DD4FDA" w:rsidRPr="007733CA">
        <w:rPr>
          <w:rFonts w:ascii="Sylfaen" w:hAnsi="Sylfaen"/>
          <w:sz w:val="24"/>
          <w:szCs w:val="24"/>
        </w:rPr>
        <w:t xml:space="preserve"> ժամանակին են </w:t>
      </w:r>
      <w:r w:rsidR="0027051A" w:rsidRPr="007733CA">
        <w:rPr>
          <w:rFonts w:ascii="Sylfaen" w:hAnsi="Sylfaen"/>
          <w:sz w:val="24"/>
          <w:szCs w:val="24"/>
        </w:rPr>
        <w:t>հասել</w:t>
      </w:r>
      <w:r w:rsidR="00DD4FDA" w:rsidRPr="007733CA">
        <w:rPr>
          <w:rFonts w:ascii="Sylfaen" w:hAnsi="Sylfaen"/>
          <w:sz w:val="24"/>
          <w:szCs w:val="24"/>
        </w:rPr>
        <w:t>.</w:t>
      </w:r>
    </w:p>
    <w:p w:rsidR="00A17F3E" w:rsidRPr="007733CA" w:rsidRDefault="00DD4FDA" w:rsidP="008F7319">
      <w:pPr>
        <w:pStyle w:val="Bodytext20"/>
        <w:shd w:val="clear" w:color="auto" w:fill="auto"/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ազդեցությունը՝ գնահատվում են դրական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բացասական փոփոխությունները (վերլուծվում են միջոցների իրագործման արդյունքները, հնարավոր պատճառները, որոնք ազդել են այդ արդյունքների վրա).</w:t>
      </w:r>
    </w:p>
    <w:p w:rsidR="00A17F3E" w:rsidRPr="007733CA" w:rsidRDefault="00DD4FDA" w:rsidP="008F7319">
      <w:pPr>
        <w:pStyle w:val="Bodytext20"/>
        <w:shd w:val="clear" w:color="auto" w:fill="auto"/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կայունությունը՝ ֆինանսավորումն իրագործելն ավարտելուց կամ դադարեցնելուց հետո դրական </w:t>
      </w:r>
      <w:r w:rsidR="0027051A" w:rsidRPr="007733CA">
        <w:rPr>
          <w:rFonts w:ascii="Sylfaen" w:hAnsi="Sylfaen"/>
          <w:sz w:val="24"/>
          <w:szCs w:val="24"/>
        </w:rPr>
        <w:t xml:space="preserve">արդյունքի </w:t>
      </w:r>
      <w:r w:rsidRPr="007733CA">
        <w:rPr>
          <w:rFonts w:ascii="Sylfaen" w:hAnsi="Sylfaen"/>
          <w:sz w:val="24"/>
          <w:szCs w:val="24"/>
        </w:rPr>
        <w:t>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ողությունը, հիմնական գործոնները, որոնք ազդում են միջոցի կայունության վրա.</w:t>
      </w:r>
    </w:p>
    <w:p w:rsidR="00A17F3E" w:rsidRPr="007733CA" w:rsidRDefault="00DD4FDA" w:rsidP="008F7319">
      <w:pPr>
        <w:pStyle w:val="Bodytext20"/>
        <w:shd w:val="clear" w:color="auto" w:fill="auto"/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ծախսատարություն՝ արդյունքների հարաբերակցությունը ծախքերի նկատմամբ։</w:t>
      </w:r>
    </w:p>
    <w:p w:rsidR="00A17F3E" w:rsidRPr="007733CA" w:rsidRDefault="00DD4FDA" w:rsidP="008F7319">
      <w:pPr>
        <w:pStyle w:val="Bodytext20"/>
        <w:shd w:val="clear" w:color="auto" w:fill="auto"/>
        <w:spacing w:before="0" w:after="160" w:line="343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Յուրաքանչյուր չափորոշիչ կարող է բնութագրվել 1-ից 3 վիճակագրական ցուցանիշով, որոնք չափվում են </w:t>
      </w:r>
      <w:r w:rsidR="00E2176B" w:rsidRPr="007733CA">
        <w:rPr>
          <w:rFonts w:ascii="Sylfaen" w:hAnsi="Sylfaen"/>
          <w:sz w:val="24"/>
          <w:szCs w:val="24"/>
        </w:rPr>
        <w:t>շարժի</w:t>
      </w:r>
      <w:r w:rsidR="002A5766" w:rsidRPr="007733CA">
        <w:rPr>
          <w:rFonts w:ascii="Sylfaen" w:hAnsi="Sylfaen"/>
          <w:sz w:val="24"/>
          <w:szCs w:val="24"/>
        </w:rPr>
        <w:t xml:space="preserve"> մեջ</w:t>
      </w:r>
      <w:r w:rsidRPr="007733CA">
        <w:rPr>
          <w:rFonts w:ascii="Sylfaen" w:hAnsi="Sylfaen"/>
          <w:sz w:val="24"/>
          <w:szCs w:val="24"/>
        </w:rPr>
        <w:t>։</w:t>
      </w:r>
    </w:p>
    <w:p w:rsidR="00F06FFA" w:rsidRPr="007733CA" w:rsidRDefault="00F06FFA" w:rsidP="00AA65B4">
      <w:pPr>
        <w:pStyle w:val="Bodytext20"/>
        <w:shd w:val="clear" w:color="auto" w:fill="auto"/>
        <w:spacing w:before="0" w:after="160" w:line="360" w:lineRule="auto"/>
        <w:ind w:left="2560" w:hanging="1060"/>
        <w:jc w:val="left"/>
        <w:rPr>
          <w:rFonts w:ascii="Sylfaen" w:hAnsi="Sylfaen"/>
          <w:sz w:val="24"/>
          <w:szCs w:val="24"/>
        </w:rPr>
      </w:pPr>
    </w:p>
    <w:p w:rsidR="00A17F3E" w:rsidRPr="007733CA" w:rsidRDefault="00AD0310" w:rsidP="00AA65B4">
      <w:pPr>
        <w:pStyle w:val="Bodytext20"/>
        <w:shd w:val="clear" w:color="auto" w:fill="auto"/>
        <w:spacing w:before="0" w:after="160" w:line="360" w:lineRule="auto"/>
        <w:ind w:left="1134" w:right="1126" w:hanging="8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3. Պետական կարգավորման արդյունավետության գնահատ</w:t>
      </w:r>
      <w:r w:rsidR="002A5766" w:rsidRPr="007733CA">
        <w:rPr>
          <w:rFonts w:ascii="Sylfaen" w:hAnsi="Sylfaen"/>
          <w:sz w:val="24"/>
          <w:szCs w:val="24"/>
        </w:rPr>
        <w:t>ում</w:t>
      </w:r>
      <w:r w:rsidRPr="007733CA">
        <w:rPr>
          <w:rFonts w:ascii="Sylfaen" w:hAnsi="Sylfaen"/>
          <w:sz w:val="24"/>
          <w:szCs w:val="24"/>
        </w:rPr>
        <w:t xml:space="preserve"> անցկաց</w:t>
      </w:r>
      <w:r w:rsidR="002A5766" w:rsidRPr="007733CA">
        <w:rPr>
          <w:rFonts w:ascii="Sylfaen" w:hAnsi="Sylfaen"/>
          <w:sz w:val="24"/>
          <w:szCs w:val="24"/>
        </w:rPr>
        <w:t>նելու</w:t>
      </w:r>
      <w:r w:rsidRPr="007733CA">
        <w:rPr>
          <w:rFonts w:ascii="Sylfaen" w:hAnsi="Sylfaen"/>
          <w:sz w:val="24"/>
          <w:szCs w:val="24"/>
        </w:rPr>
        <w:t xml:space="preserve"> երրորդ փուլը</w:t>
      </w:r>
    </w:p>
    <w:p w:rsidR="00A17F3E" w:rsidRPr="007733CA" w:rsidRDefault="00AD0310" w:rsidP="007640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19.</w:t>
      </w:r>
      <w:r w:rsidR="008F7319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Կատարվում են գնահատման օբյեկտի վիճակի չափորոշիչների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ցուցանիշների համադրում, տվյալների հաշվարկում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մշակում</w:t>
      </w:r>
      <w:r w:rsidR="00322F9E" w:rsidRPr="007733CA">
        <w:rPr>
          <w:rFonts w:ascii="Sylfaen" w:hAnsi="Sylfaen"/>
          <w:sz w:val="24"/>
          <w:szCs w:val="24"/>
        </w:rPr>
        <w:t>՝</w:t>
      </w:r>
      <w:r w:rsidRPr="007733CA">
        <w:rPr>
          <w:rFonts w:ascii="Sylfaen" w:hAnsi="Sylfaen"/>
          <w:sz w:val="24"/>
          <w:szCs w:val="24"/>
        </w:rPr>
        <w:t xml:space="preserve"> ագրոպարենային </w:t>
      </w:r>
      <w:r w:rsidRPr="007733CA">
        <w:rPr>
          <w:rFonts w:ascii="Sylfaen" w:hAnsi="Sylfaen"/>
          <w:sz w:val="24"/>
          <w:szCs w:val="24"/>
        </w:rPr>
        <w:lastRenderedPageBreak/>
        <w:t xml:space="preserve">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միջոցների արդյունավետության վերլուծության համար։ </w:t>
      </w:r>
    </w:p>
    <w:p w:rsidR="00F06FFA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Սույն </w:t>
      </w:r>
      <w:r w:rsidR="00E63918" w:rsidRPr="007733CA">
        <w:rPr>
          <w:rFonts w:ascii="Sylfaen" w:hAnsi="Sylfaen"/>
          <w:sz w:val="24"/>
          <w:szCs w:val="24"/>
        </w:rPr>
        <w:t>մ</w:t>
      </w:r>
      <w:r w:rsidRPr="007733CA">
        <w:rPr>
          <w:rFonts w:ascii="Sylfaen" w:hAnsi="Sylfaen"/>
          <w:sz w:val="24"/>
          <w:szCs w:val="24"/>
        </w:rPr>
        <w:t>եթոդաբանությ</w:t>
      </w:r>
      <w:r w:rsidR="002A5766" w:rsidRPr="007733CA">
        <w:rPr>
          <w:rFonts w:ascii="Sylfaen" w:hAnsi="Sylfaen"/>
          <w:sz w:val="24"/>
          <w:szCs w:val="24"/>
        </w:rPr>
        <w:t>ան մեջ</w:t>
      </w:r>
      <w:r w:rsidRPr="007733CA">
        <w:rPr>
          <w:rFonts w:ascii="Sylfaen" w:hAnsi="Sylfaen"/>
          <w:sz w:val="24"/>
          <w:szCs w:val="24"/>
        </w:rPr>
        <w:t xml:space="preserve"> օգտագործվում են 7 տեսակի ցուցանիշներ, որոնք գումարային 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ով ներառում են 31 ցուցանիշ գնահատման համար։ Նշված</w:t>
      </w:r>
      <w:r w:rsidR="008F7319" w:rsidRPr="007733CA">
        <w:rPr>
          <w:rFonts w:ascii="Sylfaen" w:hAnsi="Sylfaen"/>
          <w:sz w:val="24"/>
          <w:szCs w:val="24"/>
        </w:rPr>
        <w:t> </w:t>
      </w:r>
      <w:r w:rsidRPr="007733CA">
        <w:rPr>
          <w:rFonts w:ascii="Sylfaen" w:hAnsi="Sylfaen"/>
          <w:sz w:val="24"/>
          <w:szCs w:val="24"/>
        </w:rPr>
        <w:t xml:space="preserve">ցուցանիշները պետական կարգավորման յուրաքանչյուր նպատակի համար բաշխվում են արդյունավորության, օպտիմալության, ազդեցության, կայունության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ծախսատարության չափորոշիչներին համապատասխան (1-ին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2-րդ աղյուսակներ)։</w:t>
      </w:r>
    </w:p>
    <w:p w:rsidR="00E12ECF" w:rsidRPr="007733CA" w:rsidRDefault="00E12ECF" w:rsidP="00AA65B4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  <w:szCs w:val="24"/>
        </w:rPr>
      </w:pP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740"/>
        <w:jc w:val="right"/>
        <w:rPr>
          <w:rFonts w:ascii="Sylfaen" w:hAnsi="Sylfaen"/>
          <w:sz w:val="24"/>
          <w:szCs w:val="24"/>
        </w:rPr>
      </w:pPr>
      <w:r w:rsidRPr="007733CA">
        <w:rPr>
          <w:rStyle w:val="Bodytext9Spacing0pt"/>
          <w:rFonts w:ascii="Sylfaen" w:hAnsi="Sylfaen"/>
          <w:sz w:val="24"/>
          <w:szCs w:val="24"/>
        </w:rPr>
        <w:t>Աղյուսակ 1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Ագրոարդյունաբերական համալիրի պետական կարգավորման միջոցների արդյունավետության գնահատման համար ցուցանիշների ցանկը</w:t>
      </w:r>
    </w:p>
    <w:tbl>
      <w:tblPr>
        <w:tblOverlap w:val="never"/>
        <w:tblW w:w="10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6"/>
        <w:gridCol w:w="7113"/>
      </w:tblGrid>
      <w:tr w:rsidR="00A17F3E" w:rsidRPr="007733CA" w:rsidTr="00BE6160">
        <w:trPr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F3E" w:rsidRPr="007733CA" w:rsidRDefault="00DD4FDA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Ցուցանիշների տեսակները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Ցուցանիշի անվանումը</w:t>
            </w:r>
          </w:p>
        </w:tc>
      </w:tr>
      <w:tr w:rsidR="00A17F3E" w:rsidRPr="007733CA" w:rsidTr="00BE6160">
        <w:trPr>
          <w:jc w:val="center"/>
        </w:trPr>
        <w:tc>
          <w:tcPr>
            <w:tcW w:w="3146" w:type="dxa"/>
            <w:tcBorders>
              <w:top w:val="single" w:sz="4" w:space="0" w:color="auto"/>
            </w:tcBorders>
            <w:shd w:val="clear" w:color="auto" w:fill="FFFFFF"/>
          </w:tcPr>
          <w:p w:rsidR="00A17F3E" w:rsidRPr="007733CA" w:rsidRDefault="00CB39DF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1</w:t>
            </w:r>
            <w:r w:rsidR="00E12ECF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Ֆինանսական վիճակի ցուցանիշները</w:t>
            </w:r>
          </w:p>
        </w:tc>
        <w:tc>
          <w:tcPr>
            <w:tcW w:w="71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45A4" w:rsidRPr="007733CA" w:rsidRDefault="004845A4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ակտիվների ծավալի փոփոխություն.</w:t>
            </w:r>
          </w:p>
          <w:p w:rsidR="004845A4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ընթացիկ իրացվելիության գործակից.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ակտիվների նկատմամբ պարտքերի հարաբերակցություն.</w:t>
            </w:r>
          </w:p>
          <w:p w:rsidR="004845A4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վաճառված ապրանքների, արտադրանքի, աշխատանքների, ծառայությունների շահութաբերություն (վնասաբերություն).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ակտիվների շահութաբերություն</w:t>
            </w:r>
          </w:p>
        </w:tc>
      </w:tr>
      <w:tr w:rsidR="00A17F3E" w:rsidRPr="007733CA" w:rsidTr="00BE6160">
        <w:trPr>
          <w:jc w:val="center"/>
        </w:trPr>
        <w:tc>
          <w:tcPr>
            <w:tcW w:w="3146" w:type="dxa"/>
            <w:shd w:val="clear" w:color="auto" w:fill="FFFFFF"/>
          </w:tcPr>
          <w:p w:rsidR="00A17F3E" w:rsidRPr="007733CA" w:rsidRDefault="00DD4FDA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2.</w:t>
            </w:r>
            <w:r w:rsidR="00E12ECF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ցուցանիշները</w:t>
            </w:r>
          </w:p>
        </w:tc>
        <w:tc>
          <w:tcPr>
            <w:tcW w:w="7113" w:type="dxa"/>
            <w:shd w:val="clear" w:color="auto" w:fill="FFFFFF"/>
          </w:tcPr>
          <w:p w:rsidR="004845A4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ներմուծման հումքի մասով ծախսերի մասնաբաժին.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ցուցիչ</w:t>
            </w:r>
          </w:p>
        </w:tc>
      </w:tr>
      <w:tr w:rsidR="00A17F3E" w:rsidRPr="007733CA" w:rsidTr="00BE6160">
        <w:trPr>
          <w:jc w:val="center"/>
        </w:trPr>
        <w:tc>
          <w:tcPr>
            <w:tcW w:w="3146" w:type="dxa"/>
            <w:shd w:val="clear" w:color="auto" w:fill="FFFFFF"/>
            <w:vAlign w:val="bottom"/>
          </w:tcPr>
          <w:p w:rsidR="00A17F3E" w:rsidRPr="007733CA" w:rsidRDefault="00DD4FDA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3.</w:t>
            </w:r>
            <w:r w:rsidR="00E12ECF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Ներդրումների ցուցանիշները</w:t>
            </w:r>
          </w:p>
        </w:tc>
        <w:tc>
          <w:tcPr>
            <w:tcW w:w="7113" w:type="dxa"/>
            <w:shd w:val="clear" w:color="auto" w:fill="FFFFFF"/>
          </w:tcPr>
          <w:p w:rsidR="00A17F3E" w:rsidRPr="007733CA" w:rsidRDefault="0012616B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շահույթի մեջ 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>ԳՀ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Փ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>ԿԱ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-ի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վրա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կատարված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ծախսերի մասնաբաժին </w:t>
            </w:r>
          </w:p>
        </w:tc>
      </w:tr>
      <w:tr w:rsidR="00A17F3E" w:rsidRPr="007733CA" w:rsidTr="00BE6160">
        <w:trPr>
          <w:jc w:val="center"/>
        </w:trPr>
        <w:tc>
          <w:tcPr>
            <w:tcW w:w="3146" w:type="dxa"/>
            <w:shd w:val="clear" w:color="auto" w:fill="FFFFFF"/>
          </w:tcPr>
          <w:p w:rsidR="00A17F3E" w:rsidRPr="007733CA" w:rsidRDefault="00DD4FDA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4.</w:t>
            </w:r>
            <w:r w:rsidR="00E12ECF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Աշխատանքի ցուցանիշները</w:t>
            </w:r>
          </w:p>
        </w:tc>
        <w:tc>
          <w:tcPr>
            <w:tcW w:w="7113" w:type="dxa"/>
            <w:shd w:val="clear" w:color="auto" w:fill="FFFFFF"/>
            <w:vAlign w:val="center"/>
          </w:tcPr>
          <w:p w:rsidR="004845A4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գյուղատնտեսությ</w:t>
            </w:r>
            <w:r w:rsidR="00A5571F" w:rsidRPr="007733CA">
              <w:rPr>
                <w:rStyle w:val="Bodytext295pt"/>
                <w:rFonts w:ascii="Sylfaen" w:hAnsi="Sylfaen"/>
                <w:sz w:val="24"/>
                <w:szCs w:val="24"/>
              </w:rPr>
              <w:t>ա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</w:t>
            </w:r>
            <w:r w:rsidR="00A5571F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ոլորտում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զբաղված</w:t>
            </w:r>
            <w:r w:rsidR="00A5571F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անձանց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միջին տարեկան թվաքանակ.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միջին տարեկան իրական աշխատավարձ՝ 1 աշխատողի </w:t>
            </w:r>
            <w:r w:rsidR="0012616B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համար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հաշվեգրված</w:t>
            </w:r>
          </w:p>
        </w:tc>
      </w:tr>
      <w:tr w:rsidR="00A17F3E" w:rsidRPr="007733CA" w:rsidTr="00BE6160">
        <w:trPr>
          <w:jc w:val="center"/>
        </w:trPr>
        <w:tc>
          <w:tcPr>
            <w:tcW w:w="3146" w:type="dxa"/>
            <w:shd w:val="clear" w:color="auto" w:fill="FFFFFF"/>
          </w:tcPr>
          <w:p w:rsidR="00A17F3E" w:rsidRPr="007733CA" w:rsidRDefault="00DD4FDA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5.</w:t>
            </w:r>
            <w:r w:rsidR="00BE6160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Գնի ցուցանիշները</w:t>
            </w:r>
          </w:p>
        </w:tc>
        <w:tc>
          <w:tcPr>
            <w:tcW w:w="7113" w:type="dxa"/>
            <w:shd w:val="clear" w:color="auto" w:fill="FFFFFF"/>
            <w:vAlign w:val="center"/>
          </w:tcPr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սպառողական գների նկատմամբ արտադրողների գների հարաբերակցության </w:t>
            </w:r>
            <w:r w:rsidR="00F92E60" w:rsidRPr="007733CA">
              <w:rPr>
                <w:rStyle w:val="Bodytext295pt"/>
                <w:rFonts w:ascii="Sylfaen" w:hAnsi="Sylfaen"/>
                <w:sz w:val="24"/>
                <w:szCs w:val="24"/>
              </w:rPr>
              <w:t>շարժ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գյուղատնտեսական կազմակերպությունների համար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արդյունաբերական ապրանքների գների ցուցիչ.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արտադրողների գների ցուցիչ</w:t>
            </w:r>
          </w:p>
        </w:tc>
      </w:tr>
      <w:tr w:rsidR="00A17F3E" w:rsidRPr="007733CA" w:rsidTr="00BE6160">
        <w:trPr>
          <w:jc w:val="center"/>
        </w:trPr>
        <w:tc>
          <w:tcPr>
            <w:tcW w:w="3146" w:type="dxa"/>
            <w:shd w:val="clear" w:color="auto" w:fill="FFFFFF"/>
          </w:tcPr>
          <w:p w:rsidR="00A17F3E" w:rsidRPr="007733CA" w:rsidRDefault="00DD4FDA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6.</w:t>
            </w:r>
            <w:r w:rsidR="00BE6160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Արտաքին առ</w:t>
            </w:r>
            <w:r w:rsidR="003260AA" w:rsidRPr="007733CA">
              <w:rPr>
                <w:rStyle w:val="Bodytext295pt"/>
                <w:rFonts w:ascii="Sylfaen" w:hAnsi="Sylfaen"/>
                <w:sz w:val="24"/>
                <w:szCs w:val="24"/>
              </w:rPr>
              <w:t>եւ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տրի ցուցանիշները</w:t>
            </w:r>
          </w:p>
        </w:tc>
        <w:tc>
          <w:tcPr>
            <w:tcW w:w="7113" w:type="dxa"/>
            <w:shd w:val="clear" w:color="auto" w:fill="FFFFFF"/>
            <w:vAlign w:val="center"/>
          </w:tcPr>
          <w:p w:rsidR="00634E8B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ներմուծման տուրքեր.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արտահանման տուրքեր.</w:t>
            </w:r>
          </w:p>
          <w:p w:rsidR="00634E8B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արտահանման ֆիզիկական ծավալների </w:t>
            </w:r>
            <w:r w:rsidR="00F92E60" w:rsidRPr="007733CA">
              <w:rPr>
                <w:rStyle w:val="Bodytext295pt"/>
                <w:rFonts w:ascii="Sylfaen" w:hAnsi="Sylfaen"/>
                <w:sz w:val="24"/>
                <w:szCs w:val="24"/>
              </w:rPr>
              <w:t>շարժ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.</w:t>
            </w:r>
          </w:p>
          <w:p w:rsidR="00634E8B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ներմուծման ֆիզիկական ծավալի ցուցիչ.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լրացուցիչ ոչ սակագնային միջոցների քանակ</w:t>
            </w:r>
          </w:p>
        </w:tc>
      </w:tr>
      <w:tr w:rsidR="00A17F3E" w:rsidRPr="007733CA" w:rsidTr="00BE6160">
        <w:trPr>
          <w:jc w:val="center"/>
        </w:trPr>
        <w:tc>
          <w:tcPr>
            <w:tcW w:w="3146" w:type="dxa"/>
            <w:shd w:val="clear" w:color="auto" w:fill="FFFFFF"/>
          </w:tcPr>
          <w:p w:rsidR="00A17F3E" w:rsidRPr="007733CA" w:rsidRDefault="00DD4FDA" w:rsidP="00BE6160">
            <w:pPr>
              <w:pStyle w:val="Bodytext20"/>
              <w:shd w:val="clear" w:color="auto" w:fill="auto"/>
              <w:tabs>
                <w:tab w:val="left" w:pos="545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7.</w:t>
            </w:r>
            <w:r w:rsidR="00BE6160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Լրացուցիչ ցուցանիշներ</w:t>
            </w:r>
          </w:p>
        </w:tc>
        <w:tc>
          <w:tcPr>
            <w:tcW w:w="7113" w:type="dxa"/>
            <w:shd w:val="clear" w:color="auto" w:fill="FFFFFF"/>
            <w:vAlign w:val="bottom"/>
          </w:tcPr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կորուստների </w:t>
            </w:r>
            <w:r w:rsidR="00F92E60" w:rsidRPr="007733CA">
              <w:rPr>
                <w:rStyle w:val="Bodytext295pt"/>
                <w:rFonts w:ascii="Sylfaen" w:hAnsi="Sylfaen"/>
                <w:sz w:val="24"/>
                <w:szCs w:val="24"/>
              </w:rPr>
              <w:t>շարժ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ռեսուրսներում ներմուծման մասնաբաժին.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պաշարների ծավալների փոփոխություն.</w:t>
            </w:r>
          </w:p>
          <w:p w:rsidR="00634E8B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սպառման նկատմամբ աջակցության ծավալների հարաբերակցության ցուցիչ.</w:t>
            </w:r>
          </w:p>
          <w:p w:rsidR="00634E8B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ցանքատարածությունների </w:t>
            </w:r>
            <w:r w:rsidR="003260AA" w:rsidRPr="007733CA">
              <w:rPr>
                <w:rStyle w:val="Bodytext295pt"/>
                <w:rFonts w:ascii="Sylfaen" w:hAnsi="Sylfaen"/>
                <w:sz w:val="24"/>
                <w:szCs w:val="24"/>
              </w:rPr>
              <w:t>եւ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անասունների գլխաքանակի ցուցիչ.</w:t>
            </w:r>
          </w:p>
          <w:p w:rsidR="00634E8B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արտադրական սպառման ցուցիչ.</w:t>
            </w:r>
          </w:p>
          <w:p w:rsidR="00634E8B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նկատմամբ աջակցության հարաբերակցություն.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պահեստարանների տարած</w:t>
            </w:r>
            <w:r w:rsidR="00F92E60" w:rsidRPr="007733CA">
              <w:rPr>
                <w:rStyle w:val="Bodytext295pt"/>
                <w:rFonts w:ascii="Sylfaen" w:hAnsi="Sylfaen"/>
                <w:sz w:val="24"/>
                <w:szCs w:val="24"/>
              </w:rPr>
              <w:t>ք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ներ.</w:t>
            </w:r>
          </w:p>
          <w:p w:rsidR="00866B31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հիմնական սննդամթերք</w:t>
            </w:r>
            <w:r w:rsidR="00811CE0" w:rsidRPr="007733CA">
              <w:rPr>
                <w:rStyle w:val="Bodytext295pt"/>
                <w:rFonts w:ascii="Sylfaen" w:hAnsi="Sylfaen"/>
                <w:sz w:val="24"/>
                <w:szCs w:val="24"/>
              </w:rPr>
              <w:t>ներ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ի սպառում.</w:t>
            </w:r>
          </w:p>
          <w:p w:rsidR="00866B31" w:rsidRPr="007733CA" w:rsidRDefault="00811CE0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Style w:val="Bodytext295pt"/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գյուղատնտեսական կազմակերպություններում 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քիմիական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հողա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>բարելավման աշխատանքների անցկացում</w:t>
            </w:r>
            <w:r w:rsidR="00EC4487" w:rsidRPr="007733CA">
              <w:rPr>
                <w:rStyle w:val="Bodytext295pt"/>
                <w:rFonts w:ascii="Sylfaen" w:hAnsi="Sylfaen"/>
                <w:sz w:val="24"/>
                <w:szCs w:val="24"/>
              </w:rPr>
              <w:t>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ապրանքայնություն.</w:t>
            </w:r>
          </w:p>
          <w:p w:rsidR="00A17F3E" w:rsidRPr="007733CA" w:rsidRDefault="00DD4FDA" w:rsidP="00BE6160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պարենային անկախության մակարդակ</w:t>
            </w:r>
          </w:p>
        </w:tc>
      </w:tr>
    </w:tbl>
    <w:p w:rsidR="00A17F3E" w:rsidRPr="007733CA" w:rsidRDefault="00A17F3E" w:rsidP="00AA65B4">
      <w:pPr>
        <w:spacing w:after="160" w:line="360" w:lineRule="auto"/>
      </w:pP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Լրացուցիչ ցուցանիշներն առանձնացվ</w:t>
      </w:r>
      <w:r w:rsidR="00A75E2C" w:rsidRPr="007733CA">
        <w:rPr>
          <w:rFonts w:ascii="Sylfaen" w:hAnsi="Sylfaen"/>
          <w:sz w:val="24"/>
          <w:szCs w:val="24"/>
        </w:rPr>
        <w:t>ել</w:t>
      </w:r>
      <w:r w:rsidRPr="007733CA">
        <w:rPr>
          <w:rFonts w:ascii="Sylfaen" w:hAnsi="Sylfaen"/>
          <w:sz w:val="24"/>
          <w:szCs w:val="24"/>
        </w:rPr>
        <w:t xml:space="preserve"> են </w:t>
      </w:r>
      <w:r w:rsidR="00A75E2C" w:rsidRPr="007733CA">
        <w:rPr>
          <w:rFonts w:ascii="Sylfaen" w:hAnsi="Sylfaen"/>
          <w:sz w:val="24"/>
          <w:szCs w:val="24"/>
        </w:rPr>
        <w:t xml:space="preserve">որպես </w:t>
      </w:r>
      <w:r w:rsidRPr="007733CA">
        <w:rPr>
          <w:rFonts w:ascii="Sylfaen" w:hAnsi="Sylfaen"/>
          <w:sz w:val="24"/>
          <w:szCs w:val="24"/>
        </w:rPr>
        <w:t>առանձին տեսակ</w:t>
      </w:r>
      <w:r w:rsidR="00FF050F" w:rsidRPr="007733CA">
        <w:rPr>
          <w:rFonts w:ascii="Sylfaen" w:hAnsi="Sylfaen"/>
          <w:sz w:val="24"/>
          <w:szCs w:val="24"/>
        </w:rPr>
        <w:t>՝</w:t>
      </w:r>
      <w:r w:rsidR="00A75E2C" w:rsidRPr="007733CA">
        <w:rPr>
          <w:rFonts w:ascii="Sylfaen" w:hAnsi="Sylfaen"/>
          <w:sz w:val="24"/>
          <w:szCs w:val="24"/>
        </w:rPr>
        <w:t xml:space="preserve"> հաշվի առնելով այն</w:t>
      </w:r>
      <w:r w:rsidRPr="007733CA">
        <w:rPr>
          <w:rFonts w:ascii="Sylfaen" w:hAnsi="Sylfaen"/>
          <w:sz w:val="24"/>
          <w:szCs w:val="24"/>
        </w:rPr>
        <w:t xml:space="preserve">, որ որոշ գործակիցներ կարող են միաժամանակ դասվել ցուցանիշների մի քանի տեսակների (օրինակ՝ ռեսուրսներում ներմուծման մասնաբաժինը կարող է միաժամանակ դասվել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՛ արտադրության ցուցանիշներին,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՛ արտաքին առ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տրի ցուցանիշներին)։</w:t>
      </w:r>
    </w:p>
    <w:p w:rsidR="00866B31" w:rsidRPr="007733CA" w:rsidRDefault="00866B31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866B31" w:rsidRPr="007733CA" w:rsidRDefault="00866B31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  <w:sectPr w:rsidR="00866B31" w:rsidRPr="007733CA" w:rsidSect="0039257D">
          <w:footerReference w:type="default" r:id="rId11"/>
          <w:pgSz w:w="11907" w:h="16840" w:code="9"/>
          <w:pgMar w:top="1418" w:right="1418" w:bottom="1418" w:left="1418" w:header="0" w:footer="498" w:gutter="0"/>
          <w:pgNumType w:start="1"/>
          <w:cols w:space="720"/>
          <w:noEndnote/>
          <w:titlePg/>
          <w:docGrid w:linePitch="360"/>
        </w:sectPr>
      </w:pP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left="3360" w:firstLine="0"/>
        <w:jc w:val="right"/>
        <w:rPr>
          <w:rFonts w:ascii="Sylfaen" w:hAnsi="Sylfaen"/>
          <w:sz w:val="24"/>
          <w:szCs w:val="24"/>
        </w:rPr>
      </w:pPr>
      <w:r w:rsidRPr="007733CA">
        <w:rPr>
          <w:rStyle w:val="Tablecaption3"/>
          <w:rFonts w:ascii="Sylfaen" w:hAnsi="Sylfaen"/>
          <w:sz w:val="24"/>
          <w:szCs w:val="24"/>
        </w:rPr>
        <w:lastRenderedPageBreak/>
        <w:t>Աղյուսակ 2</w:t>
      </w:r>
    </w:p>
    <w:p w:rsidR="00A17F3E" w:rsidRPr="007733CA" w:rsidRDefault="00DD4FDA" w:rsidP="00B453B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Վիճակագրական ցուցանիշների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նպատակների (չափորոշիչների) հարաբերակցությունը</w:t>
      </w:r>
    </w:p>
    <w:tbl>
      <w:tblPr>
        <w:tblOverlap w:val="never"/>
        <w:tblW w:w="166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9"/>
        <w:gridCol w:w="3118"/>
        <w:gridCol w:w="2579"/>
        <w:gridCol w:w="2898"/>
        <w:gridCol w:w="2595"/>
        <w:gridCol w:w="2563"/>
      </w:tblGrid>
      <w:tr w:rsidR="00A17F3E" w:rsidRPr="007733CA" w:rsidTr="00C558AF">
        <w:trPr>
          <w:trHeight w:val="156"/>
          <w:jc w:val="center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Նպատակ</w:t>
            </w:r>
          </w:p>
        </w:tc>
        <w:tc>
          <w:tcPr>
            <w:tcW w:w="137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Չափորոշիչներ</w:t>
            </w:r>
          </w:p>
        </w:tc>
      </w:tr>
      <w:tr w:rsidR="00F141E8" w:rsidRPr="007733CA" w:rsidTr="00C558AF">
        <w:trPr>
          <w:trHeight w:val="156"/>
          <w:jc w:val="center"/>
        </w:trPr>
        <w:tc>
          <w:tcPr>
            <w:tcW w:w="2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7F3E" w:rsidRPr="007733CA" w:rsidRDefault="00A17F3E" w:rsidP="00B453B5">
            <w:pPr>
              <w:spacing w:after="12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արդյունավորություն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օպտիմալություն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ազդեցություն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կայունություն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ծախսատարություն</w:t>
            </w:r>
          </w:p>
        </w:tc>
      </w:tr>
      <w:tr w:rsidR="00F141E8" w:rsidRPr="007733CA" w:rsidTr="00C558AF">
        <w:trPr>
          <w:trHeight w:val="156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6</w:t>
            </w:r>
          </w:p>
        </w:tc>
      </w:tr>
      <w:tr w:rsidR="00F141E8" w:rsidRPr="007733CA" w:rsidTr="00C558AF">
        <w:trPr>
          <w:trHeight w:val="156"/>
          <w:jc w:val="center"/>
        </w:trPr>
        <w:tc>
          <w:tcPr>
            <w:tcW w:w="2869" w:type="dxa"/>
            <w:tcBorders>
              <w:top w:val="single" w:sz="4" w:space="0" w:color="auto"/>
            </w:tcBorders>
            <w:shd w:val="clear" w:color="auto" w:fill="FFFFFF"/>
          </w:tcPr>
          <w:p w:rsidR="00A17F3E" w:rsidRPr="007733CA" w:rsidRDefault="00DD4FDA" w:rsidP="00223598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40" w:lineRule="auto"/>
              <w:ind w:left="590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1.</w:t>
            </w:r>
            <w:r w:rsidR="00523321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Պարենային անկախության ապահովում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հիմնական սննդամթերք</w:t>
            </w:r>
            <w:r w:rsidR="00704712" w:rsidRPr="007733CA">
              <w:rPr>
                <w:rStyle w:val="Bodytext295pt"/>
                <w:rFonts w:ascii="Sylfaen" w:hAnsi="Sylfaen"/>
                <w:sz w:val="24"/>
                <w:szCs w:val="24"/>
              </w:rPr>
              <w:t>ներ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ի սպառում. պարենային անկախության մակարդակ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վաճառված ապրանքների, արտադրանքի, աշխատանքների, ծառայությունների շահութաբերություն (վնասաբերություն) (տարբերություն). ներմուծ</w:t>
            </w:r>
            <w:r w:rsidR="00704712" w:rsidRPr="007733CA">
              <w:rPr>
                <w:rStyle w:val="Bodytext295pt"/>
                <w:rFonts w:ascii="Sylfaen" w:hAnsi="Sylfaen"/>
                <w:sz w:val="24"/>
                <w:szCs w:val="24"/>
              </w:rPr>
              <w:t>ված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հումքի մասով ծախսերի մասնաբաժին (տարբերություն)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FFFFFF"/>
          </w:tcPr>
          <w:p w:rsidR="00A17F3E" w:rsidRPr="007733CA" w:rsidRDefault="00DD4FDA" w:rsidP="00F141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ցուցիչ. արտադրողների գների ցուցիչ ներմուծման ֆիզիկական ծավալի ցուցիչ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</w:tcPr>
          <w:p w:rsidR="00A17F3E" w:rsidRPr="007733CA" w:rsidRDefault="00DD4FDA" w:rsidP="000F215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ակտիվների նկատմամբ պարտքերի հարաբերակցություն.</w:t>
            </w:r>
            <w:r w:rsidR="000F215F" w:rsidRPr="007733CA">
              <w:rPr>
                <w:rFonts w:ascii="Sylfaen" w:hAnsi="Sylfaen"/>
                <w:sz w:val="24"/>
                <w:szCs w:val="24"/>
              </w:rPr>
              <w:br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ներմուծ</w:t>
            </w:r>
            <w:r w:rsidR="00704712" w:rsidRPr="007733CA">
              <w:rPr>
                <w:rStyle w:val="Bodytext295pt"/>
                <w:rFonts w:ascii="Sylfaen" w:hAnsi="Sylfaen"/>
                <w:sz w:val="24"/>
                <w:szCs w:val="24"/>
              </w:rPr>
              <w:t>ված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հումքի մասով ծախսերի մասնաբաժին (տարբերություն)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նկատմամբ աջակցության հարաբերակցություն</w:t>
            </w:r>
          </w:p>
        </w:tc>
      </w:tr>
      <w:tr w:rsidR="00F141E8" w:rsidRPr="007733CA" w:rsidTr="00C558AF">
        <w:trPr>
          <w:trHeight w:val="156"/>
          <w:jc w:val="center"/>
        </w:trPr>
        <w:tc>
          <w:tcPr>
            <w:tcW w:w="2869" w:type="dxa"/>
            <w:shd w:val="clear" w:color="auto" w:fill="FFFFFF"/>
          </w:tcPr>
          <w:p w:rsidR="00A17F3E" w:rsidRPr="007733CA" w:rsidRDefault="00DD4FDA" w:rsidP="00223598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40" w:lineRule="auto"/>
              <w:ind w:left="590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2.</w:t>
            </w:r>
            <w:r w:rsidR="00523321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Ֆինանսական կայունության բարձրացում</w:t>
            </w:r>
          </w:p>
        </w:tc>
        <w:tc>
          <w:tcPr>
            <w:tcW w:w="3118" w:type="dxa"/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վաճառված ապրանքների, արտադրանքի, աշխատանքների, ծառայությունների շահութաբերություն (վնասաբերություն) (տարբերություն). ակտիվների նկատմամբ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պարտքերի հարաբերակցություն</w:t>
            </w:r>
          </w:p>
        </w:tc>
        <w:tc>
          <w:tcPr>
            <w:tcW w:w="2579" w:type="dxa"/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ընթացիկ իրացվելիության գործակից</w:t>
            </w:r>
          </w:p>
        </w:tc>
        <w:tc>
          <w:tcPr>
            <w:tcW w:w="2898" w:type="dxa"/>
            <w:shd w:val="clear" w:color="auto" w:fill="FFFFFF"/>
          </w:tcPr>
          <w:p w:rsidR="00A17F3E" w:rsidRPr="007733CA" w:rsidRDefault="00DD4FDA" w:rsidP="00F141E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արտադրողների գների ցուցիչ գյուղատնտեսական կազմակերպությունների համար արդյունաբերական ապրանքների գների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ցուցիչներ</w:t>
            </w:r>
          </w:p>
        </w:tc>
        <w:tc>
          <w:tcPr>
            <w:tcW w:w="2595" w:type="dxa"/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 xml:space="preserve">ակտիվների շահութաբերություն (տարբերություն). </w:t>
            </w:r>
            <w:r w:rsidR="00704712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շահույթի մեջ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ԳՀ</w:t>
            </w:r>
            <w:r w:rsidR="00704712" w:rsidRPr="007733CA">
              <w:rPr>
                <w:rStyle w:val="Bodytext295pt"/>
                <w:rFonts w:ascii="Sylfaen" w:hAnsi="Sylfaen"/>
                <w:sz w:val="24"/>
                <w:szCs w:val="24"/>
              </w:rPr>
              <w:t>Փ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ԿԱ</w:t>
            </w:r>
            <w:r w:rsidR="00704712" w:rsidRPr="007733CA">
              <w:rPr>
                <w:rStyle w:val="Bodytext295pt"/>
                <w:rFonts w:ascii="Sylfaen" w:hAnsi="Sylfaen"/>
                <w:sz w:val="24"/>
                <w:szCs w:val="24"/>
              </w:rPr>
              <w:t>-ի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վրա </w:t>
            </w:r>
            <w:r w:rsidR="00704712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կատարված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ծախսերի մասնաբաժին</w:t>
            </w:r>
          </w:p>
        </w:tc>
        <w:tc>
          <w:tcPr>
            <w:tcW w:w="2563" w:type="dxa"/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նկատմամբ աջակցության հարաբերակցություն</w:t>
            </w:r>
          </w:p>
        </w:tc>
      </w:tr>
      <w:tr w:rsidR="00F141E8" w:rsidRPr="007733CA" w:rsidTr="00C558AF">
        <w:trPr>
          <w:trHeight w:val="156"/>
          <w:jc w:val="center"/>
        </w:trPr>
        <w:tc>
          <w:tcPr>
            <w:tcW w:w="2869" w:type="dxa"/>
            <w:shd w:val="clear" w:color="auto" w:fill="FFFFFF"/>
          </w:tcPr>
          <w:p w:rsidR="00A17F3E" w:rsidRPr="007733CA" w:rsidRDefault="00DD4FDA" w:rsidP="00223598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40" w:lineRule="auto"/>
              <w:ind w:left="590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3.</w:t>
            </w:r>
            <w:r w:rsidR="00523321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Գյուղական տարածքների կայուն զարգացում</w:t>
            </w:r>
          </w:p>
        </w:tc>
        <w:tc>
          <w:tcPr>
            <w:tcW w:w="3118" w:type="dxa"/>
            <w:shd w:val="clear" w:color="auto" w:fill="FFFFFF"/>
          </w:tcPr>
          <w:p w:rsidR="00A17F3E" w:rsidRPr="007733CA" w:rsidRDefault="00704712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Գ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>յուղատնտեսությ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ան ոլորտում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զբաղված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անձանց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միջին տարեկան թվաքանակ. ցանքատարածությունների </w:t>
            </w:r>
            <w:r w:rsidR="003260AA" w:rsidRPr="007733CA">
              <w:rPr>
                <w:rStyle w:val="Bodytext295pt"/>
                <w:rFonts w:ascii="Sylfaen" w:hAnsi="Sylfaen"/>
                <w:sz w:val="24"/>
                <w:szCs w:val="24"/>
              </w:rPr>
              <w:t>եւ</w:t>
            </w:r>
            <w:r w:rsidR="00DD4FDA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անասունների գլխաքանակի ցուցիչ</w:t>
            </w:r>
          </w:p>
        </w:tc>
        <w:tc>
          <w:tcPr>
            <w:tcW w:w="2579" w:type="dxa"/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ցուցիչ</w:t>
            </w:r>
          </w:p>
        </w:tc>
        <w:tc>
          <w:tcPr>
            <w:tcW w:w="2898" w:type="dxa"/>
            <w:shd w:val="clear" w:color="auto" w:fill="FFFFFF"/>
            <w:vAlign w:val="bottom"/>
          </w:tcPr>
          <w:p w:rsidR="00A17F3E" w:rsidRPr="007733CA" w:rsidRDefault="00DD4FDA" w:rsidP="002235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միջին տարեկան իրական աշխատավարձ՝ 1</w:t>
            </w:r>
            <w:r w:rsidR="00223598" w:rsidRPr="007733CA">
              <w:rPr>
                <w:rStyle w:val="Bodytext295pt"/>
                <w:rFonts w:ascii="Sylfaen" w:hAnsi="Sylfaen"/>
                <w:sz w:val="24"/>
                <w:szCs w:val="24"/>
              </w:rPr>
              <w:t> 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աշխատողի </w:t>
            </w:r>
            <w:r w:rsidR="00CA2D27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համար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հաշվեգրված. արտադրողների գների ցուցիչ</w:t>
            </w:r>
            <w:r w:rsidRPr="007733CA">
              <w:rPr>
                <w:rStyle w:val="Bodytext295pt"/>
                <w:rFonts w:ascii="Sylfaen" w:eastAsia="MS Mincho" w:hAnsi="MS Mincho" w:cs="MS Mincho"/>
                <w:sz w:val="24"/>
                <w:szCs w:val="24"/>
              </w:rPr>
              <w:t>․</w:t>
            </w:r>
            <w:r w:rsidRPr="007733CA">
              <w:rPr>
                <w:rStyle w:val="Bodytext295pt"/>
                <w:rFonts w:ascii="Sylfaen" w:hAnsi="Sylfaen" w:cs="Sylfaen"/>
                <w:sz w:val="24"/>
                <w:szCs w:val="24"/>
              </w:rPr>
              <w:t xml:space="preserve">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գյուղատնտեսական կազմակերպությունների համար արդյունաբերական ապրանքների գների ցուցիչներ</w:t>
            </w:r>
          </w:p>
        </w:tc>
        <w:tc>
          <w:tcPr>
            <w:tcW w:w="2595" w:type="dxa"/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ակտիվների ծավալի փոփոխություն</w:t>
            </w:r>
          </w:p>
        </w:tc>
        <w:tc>
          <w:tcPr>
            <w:tcW w:w="2563" w:type="dxa"/>
            <w:shd w:val="clear" w:color="auto" w:fill="FFFFFF"/>
          </w:tcPr>
          <w:p w:rsidR="00A17F3E" w:rsidRPr="007733CA" w:rsidRDefault="00DD4FDA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նկատմամբ աջակցության հարաբերակցություն</w:t>
            </w:r>
          </w:p>
        </w:tc>
      </w:tr>
      <w:tr w:rsidR="00F141E8" w:rsidRPr="007733CA" w:rsidTr="00C558AF">
        <w:trPr>
          <w:trHeight w:val="156"/>
          <w:jc w:val="center"/>
        </w:trPr>
        <w:tc>
          <w:tcPr>
            <w:tcW w:w="2869" w:type="dxa"/>
            <w:shd w:val="clear" w:color="auto" w:fill="FFFFFF"/>
          </w:tcPr>
          <w:p w:rsidR="00015DF5" w:rsidRPr="007733CA" w:rsidRDefault="00015DF5" w:rsidP="00223598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40" w:lineRule="auto"/>
              <w:ind w:left="590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4.</w:t>
            </w:r>
            <w:r w:rsidR="00523321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Ռեսուրսների վերարտադրություն </w:t>
            </w:r>
            <w:r w:rsidR="003260AA" w:rsidRPr="007733CA">
              <w:rPr>
                <w:rStyle w:val="Bodytext295pt"/>
                <w:rFonts w:ascii="Sylfaen" w:hAnsi="Sylfaen"/>
                <w:sz w:val="24"/>
                <w:szCs w:val="24"/>
              </w:rPr>
              <w:t>եւ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օգտագործման արդյունավետության բարձրացում</w:t>
            </w:r>
          </w:p>
        </w:tc>
        <w:tc>
          <w:tcPr>
            <w:tcW w:w="3118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արտահանման ֆիզիկական ծավալների </w:t>
            </w:r>
            <w:r w:rsidR="00CA2D27" w:rsidRPr="007733CA">
              <w:rPr>
                <w:rStyle w:val="Bodytext295pt"/>
                <w:rFonts w:ascii="Sylfaen" w:hAnsi="Sylfaen"/>
                <w:sz w:val="24"/>
                <w:szCs w:val="24"/>
              </w:rPr>
              <w:t>շարժ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. ցանքատարածությունների </w:t>
            </w:r>
            <w:r w:rsidR="003260AA" w:rsidRPr="007733CA">
              <w:rPr>
                <w:rStyle w:val="Bodytext295pt"/>
                <w:rFonts w:ascii="Sylfaen" w:hAnsi="Sylfaen"/>
                <w:sz w:val="24"/>
                <w:szCs w:val="24"/>
              </w:rPr>
              <w:t>եւ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անասունների գլխաքանակի ցուցիչ</w:t>
            </w:r>
          </w:p>
        </w:tc>
        <w:tc>
          <w:tcPr>
            <w:tcW w:w="2579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ակտիվների շահութաբերություն (տարբերություն)</w:t>
            </w:r>
          </w:p>
        </w:tc>
        <w:tc>
          <w:tcPr>
            <w:tcW w:w="2898" w:type="dxa"/>
            <w:shd w:val="clear" w:color="auto" w:fill="FFFFFF"/>
            <w:vAlign w:val="bottom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միջին տարեկան իրական աշխատավարձ՝ 1 աշխատողի </w:t>
            </w:r>
            <w:r w:rsidR="00CA2D27" w:rsidRPr="007733CA">
              <w:rPr>
                <w:rStyle w:val="Bodytext295pt"/>
                <w:rFonts w:ascii="Sylfaen" w:hAnsi="Sylfaen"/>
                <w:sz w:val="24"/>
                <w:szCs w:val="24"/>
              </w:rPr>
              <w:t>համար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հաշվեգրված. գյուղատնտեսական կազմակերպությունների </w:t>
            </w:r>
            <w:r w:rsidRPr="007733CA">
              <w:rPr>
                <w:rStyle w:val="Bodytext2Sylfaen0"/>
                <w:sz w:val="24"/>
                <w:szCs w:val="24"/>
              </w:rPr>
              <w:t xml:space="preserve">համար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արդյունաբերական ապրանքների գների ցուցիչներ</w:t>
            </w:r>
          </w:p>
        </w:tc>
        <w:tc>
          <w:tcPr>
            <w:tcW w:w="2595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արտադրության ցուցիչ.</w:t>
            </w:r>
          </w:p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արտադրական սպառման ցուցիչ</w:t>
            </w:r>
          </w:p>
        </w:tc>
        <w:tc>
          <w:tcPr>
            <w:tcW w:w="2563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ակտիվների նկատմամբ պարտքերի հարաբերակցություն</w:t>
            </w:r>
          </w:p>
        </w:tc>
      </w:tr>
      <w:tr w:rsidR="00F141E8" w:rsidRPr="007733CA" w:rsidTr="00C558AF">
        <w:trPr>
          <w:trHeight w:val="156"/>
          <w:jc w:val="center"/>
        </w:trPr>
        <w:tc>
          <w:tcPr>
            <w:tcW w:w="2869" w:type="dxa"/>
            <w:shd w:val="clear" w:color="auto" w:fill="FFFFFF"/>
          </w:tcPr>
          <w:p w:rsidR="00015DF5" w:rsidRPr="007733CA" w:rsidRDefault="00C558AF" w:rsidP="00223598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40" w:lineRule="auto"/>
              <w:ind w:left="590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5</w:t>
            </w:r>
            <w:r w:rsidR="00523321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="00015DF5" w:rsidRPr="007733CA">
              <w:rPr>
                <w:rStyle w:val="Bodytext295pt"/>
                <w:rFonts w:ascii="Sylfaen" w:hAnsi="Sylfaen"/>
                <w:spacing w:val="-6"/>
                <w:sz w:val="24"/>
                <w:szCs w:val="24"/>
              </w:rPr>
              <w:t>Գյուղատնտեսա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կան արտադրանքի </w:t>
            </w:r>
            <w:r w:rsidR="00CA2D27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իրացման 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ապահովում, դրա ապրանքայնության բարձրացում</w:t>
            </w:r>
          </w:p>
        </w:tc>
        <w:tc>
          <w:tcPr>
            <w:tcW w:w="3118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 xml:space="preserve">արտահանման ֆիզիկական ծավալների </w:t>
            </w:r>
            <w:r w:rsidR="00CA2D27" w:rsidRPr="007733CA">
              <w:rPr>
                <w:rStyle w:val="Bodytext295pt"/>
                <w:rFonts w:ascii="Sylfaen" w:hAnsi="Sylfaen"/>
                <w:sz w:val="24"/>
                <w:szCs w:val="24"/>
              </w:rPr>
              <w:t>շարժ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. ռեսուրսներում ներմուծման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մասնաբաժին</w:t>
            </w:r>
            <w:r w:rsidR="003260AA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(տարբերություն).</w:t>
            </w:r>
          </w:p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ապրանքայնություն (տարբերություն)</w:t>
            </w:r>
          </w:p>
        </w:tc>
        <w:tc>
          <w:tcPr>
            <w:tcW w:w="2579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պաշարների ծավալների փոփոխություն</w:t>
            </w:r>
          </w:p>
        </w:tc>
        <w:tc>
          <w:tcPr>
            <w:tcW w:w="2898" w:type="dxa"/>
            <w:shd w:val="clear" w:color="auto" w:fill="FFFFFF"/>
            <w:vAlign w:val="bottom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ներմուծման տուրքեր (տարբերություն). արտահանման տուրքեր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(տարբերություն). լրացուցիչ ոչ սակագնային միջոցների քանակ. արտադրողների գների ցուցիչ</w:t>
            </w:r>
          </w:p>
        </w:tc>
        <w:tc>
          <w:tcPr>
            <w:tcW w:w="2595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 xml:space="preserve">վաճառված ապրանքների, արտադրանքի,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աշխատանքների, ծառայությունների շահութաբերություն (վնասաբերություն) (տարբերություն)</w:t>
            </w:r>
          </w:p>
        </w:tc>
        <w:tc>
          <w:tcPr>
            <w:tcW w:w="2563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 xml:space="preserve">սպառողական գների նկատմամբ արտադրողների գների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 xml:space="preserve">հարաբերակցության </w:t>
            </w:r>
            <w:r w:rsidR="00CA2D27" w:rsidRPr="007733CA">
              <w:rPr>
                <w:rStyle w:val="Bodytext295pt"/>
                <w:rFonts w:ascii="Sylfaen" w:hAnsi="Sylfaen"/>
                <w:sz w:val="24"/>
                <w:szCs w:val="24"/>
              </w:rPr>
              <w:t>շարժ</w:t>
            </w:r>
          </w:p>
        </w:tc>
      </w:tr>
      <w:tr w:rsidR="00F141E8" w:rsidRPr="007733CA" w:rsidTr="00C558AF">
        <w:trPr>
          <w:trHeight w:val="4566"/>
          <w:jc w:val="center"/>
        </w:trPr>
        <w:tc>
          <w:tcPr>
            <w:tcW w:w="2869" w:type="dxa"/>
            <w:shd w:val="clear" w:color="auto" w:fill="FFFFFF"/>
          </w:tcPr>
          <w:p w:rsidR="00015DF5" w:rsidRPr="007733CA" w:rsidRDefault="00015DF5" w:rsidP="00223598">
            <w:pPr>
              <w:pStyle w:val="Bodytext20"/>
              <w:shd w:val="clear" w:color="auto" w:fill="auto"/>
              <w:tabs>
                <w:tab w:val="left" w:pos="873"/>
              </w:tabs>
              <w:spacing w:before="0" w:after="120" w:line="240" w:lineRule="auto"/>
              <w:ind w:left="590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lastRenderedPageBreak/>
              <w:t>6.</w:t>
            </w:r>
            <w:r w:rsidR="00523321" w:rsidRPr="007733CA">
              <w:rPr>
                <w:rStyle w:val="Bodytext295pt"/>
                <w:rFonts w:ascii="Sylfaen" w:hAnsi="Sylfaen"/>
                <w:sz w:val="24"/>
                <w:szCs w:val="24"/>
              </w:rPr>
              <w:tab/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Ագրոպարենային շուկայի ենթակառուցվածքի զարգացման աջակցություն</w:t>
            </w:r>
          </w:p>
        </w:tc>
        <w:tc>
          <w:tcPr>
            <w:tcW w:w="3118" w:type="dxa"/>
            <w:shd w:val="clear" w:color="auto" w:fill="FFFFFF"/>
          </w:tcPr>
          <w:p w:rsidR="00015DF5" w:rsidRPr="007733CA" w:rsidRDefault="00CE3140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գյուղատնտեսական կազմակերպություններում 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քիմիական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հողա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>բարելավման աշխատանքների անցկացում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.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պահեստարանների տարած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ք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ներ (տվյալ ցուցանիշի համար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բաց հասանելիությամբ 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>վիճակագրական տվյալներ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ը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բացակայում են)</w:t>
            </w:r>
          </w:p>
        </w:tc>
        <w:tc>
          <w:tcPr>
            <w:tcW w:w="2579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կորուստների </w:t>
            </w:r>
            <w:r w:rsidR="00CE3140" w:rsidRPr="007733CA">
              <w:rPr>
                <w:rStyle w:val="Bodytext295pt"/>
                <w:rFonts w:ascii="Sylfaen" w:hAnsi="Sylfaen"/>
                <w:sz w:val="24"/>
                <w:szCs w:val="24"/>
              </w:rPr>
              <w:t>շարժ</w:t>
            </w:r>
          </w:p>
        </w:tc>
        <w:tc>
          <w:tcPr>
            <w:tcW w:w="2898" w:type="dxa"/>
            <w:shd w:val="clear" w:color="auto" w:fill="FFFFFF"/>
          </w:tcPr>
          <w:p w:rsidR="00015DF5" w:rsidRPr="007733CA" w:rsidRDefault="00CE3140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շահույթի մեջ 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>ԳՀ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Փ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>ԿԱ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-ի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 վրա </w:t>
            </w: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 xml:space="preserve">կատարված </w:t>
            </w:r>
            <w:r w:rsidR="00015DF5" w:rsidRPr="007733CA">
              <w:rPr>
                <w:rStyle w:val="Bodytext295pt"/>
                <w:rFonts w:ascii="Sylfaen" w:hAnsi="Sylfaen"/>
                <w:sz w:val="24"/>
                <w:szCs w:val="24"/>
              </w:rPr>
              <w:t>ծախսերի մասնաբաժին</w:t>
            </w:r>
          </w:p>
        </w:tc>
        <w:tc>
          <w:tcPr>
            <w:tcW w:w="2595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վաճառված ապրանքների, արտադրանքի, աշխատանքների, ծառայությունների շահութաբերություն (վնասաբերություն) (տարբերություն)</w:t>
            </w:r>
          </w:p>
        </w:tc>
        <w:tc>
          <w:tcPr>
            <w:tcW w:w="2563" w:type="dxa"/>
            <w:shd w:val="clear" w:color="auto" w:fill="FFFFFF"/>
          </w:tcPr>
          <w:p w:rsidR="00015DF5" w:rsidRPr="007733CA" w:rsidRDefault="00015DF5" w:rsidP="00B453B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733CA">
              <w:rPr>
                <w:rStyle w:val="Bodytext295pt"/>
                <w:rFonts w:ascii="Sylfaen" w:hAnsi="Sylfaen"/>
                <w:sz w:val="24"/>
                <w:szCs w:val="24"/>
              </w:rPr>
              <w:t>սպառման նկատմամբ աջակցության ծավալների հարաբերակցության ցուցիչ</w:t>
            </w:r>
          </w:p>
        </w:tc>
      </w:tr>
    </w:tbl>
    <w:p w:rsidR="00B453B5" w:rsidRPr="007733CA" w:rsidRDefault="00B453B5" w:rsidP="00AA65B4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  <w:sectPr w:rsidR="00B453B5" w:rsidRPr="007733CA" w:rsidSect="0039257D">
          <w:headerReference w:type="default" r:id="rId12"/>
          <w:headerReference w:type="first" r:id="rId13"/>
          <w:pgSz w:w="16840" w:h="11907" w:orient="landscape" w:code="9"/>
          <w:pgMar w:top="1418" w:right="1418" w:bottom="1418" w:left="1418" w:header="0" w:footer="394" w:gutter="0"/>
          <w:pgNumType w:start="1"/>
          <w:cols w:space="720"/>
          <w:noEndnote/>
          <w:titlePg/>
          <w:docGrid w:linePitch="360"/>
        </w:sectPr>
      </w:pP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lastRenderedPageBreak/>
        <w:t xml:space="preserve">IV. 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միջոցների արդյունավետության վերլուծության մեթոդիկան</w:t>
      </w:r>
    </w:p>
    <w:p w:rsidR="00A54C77" w:rsidRPr="007733CA" w:rsidRDefault="00A54C77" w:rsidP="00E56F3A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17F3E" w:rsidRPr="007733CA" w:rsidRDefault="00AD0310" w:rsidP="00E56F3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20.</w:t>
      </w:r>
      <w:r w:rsidR="00E56F3A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Ագրոպարենային շուկայի պետական կարգավորման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ագրոարդյունաբերական համալիրի աջակցության միջոցների արդյունավետության վերլուծության նպատակներով հաշվարկների անցկացման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</w:t>
      </w:r>
      <w:r w:rsidR="00DB5936" w:rsidRPr="007733CA">
        <w:rPr>
          <w:rFonts w:ascii="Sylfaen" w:hAnsi="Sylfaen"/>
          <w:sz w:val="24"/>
          <w:szCs w:val="24"/>
        </w:rPr>
        <w:t xml:space="preserve">տվյալների </w:t>
      </w:r>
      <w:r w:rsidRPr="007733CA">
        <w:rPr>
          <w:rFonts w:ascii="Sylfaen" w:hAnsi="Sylfaen"/>
          <w:sz w:val="24"/>
          <w:szCs w:val="24"/>
        </w:rPr>
        <w:t xml:space="preserve">մշակման համար որպես վիճակագրական տվյալներ օգտագործվում են անդամ պետությունների </w:t>
      </w:r>
      <w:r w:rsidR="00DB5936" w:rsidRPr="007733CA">
        <w:rPr>
          <w:rFonts w:ascii="Sylfaen" w:hAnsi="Sylfaen"/>
          <w:sz w:val="24"/>
          <w:szCs w:val="24"/>
        </w:rPr>
        <w:t xml:space="preserve">ամենամյա </w:t>
      </w:r>
      <w:r w:rsidRPr="007733CA">
        <w:rPr>
          <w:rFonts w:ascii="Sylfaen" w:hAnsi="Sylfaen"/>
          <w:sz w:val="24"/>
          <w:szCs w:val="24"/>
        </w:rPr>
        <w:t>վիճակագրական ծրագրերի տվյալները։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Անհրաժեշտության դեպքում կարող են օգտագործվել միջազգային կազմակերպությունների վիճակագրական տվյալները։</w:t>
      </w:r>
    </w:p>
    <w:p w:rsidR="00A17F3E" w:rsidRPr="007733CA" w:rsidRDefault="00AD0310" w:rsidP="00E56F3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21.</w:t>
      </w:r>
      <w:r w:rsidR="00E56F3A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Յուրաքանչյուր ցուցանիշ հաշվարկվում է </w:t>
      </w:r>
      <w:r w:rsidR="00E2176B" w:rsidRPr="007733CA">
        <w:rPr>
          <w:rFonts w:ascii="Sylfaen" w:hAnsi="Sylfaen"/>
          <w:sz w:val="24"/>
          <w:szCs w:val="24"/>
        </w:rPr>
        <w:t>շարժի</w:t>
      </w:r>
      <w:r w:rsidR="00DB5936" w:rsidRPr="007733CA">
        <w:rPr>
          <w:rFonts w:ascii="Sylfaen" w:hAnsi="Sylfaen"/>
          <w:sz w:val="24"/>
          <w:szCs w:val="24"/>
        </w:rPr>
        <w:t xml:space="preserve"> մեջ </w:t>
      </w:r>
      <w:r w:rsidRPr="007733CA">
        <w:rPr>
          <w:rFonts w:ascii="Sylfaen" w:hAnsi="Sylfaen"/>
          <w:sz w:val="24"/>
          <w:szCs w:val="24"/>
        </w:rPr>
        <w:t>(այսինքն՝ նախորդ տարվա նկատմամբ) (տոկոսներով) հետ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յալ բանաձ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ով՝</w:t>
      </w:r>
    </w:p>
    <w:p w:rsidR="00A54C77" w:rsidRPr="007733CA" w:rsidRDefault="00A54C77" w:rsidP="00AA65B4">
      <w:pPr>
        <w:pStyle w:val="Bodytext6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A54C77" w:rsidRPr="007733CA" w:rsidRDefault="002A017F" w:rsidP="00AA65B4">
      <w:pPr>
        <w:pStyle w:val="Bodytext6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Sylfaen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Sylfaen" w:cs="Cambria Math"/>
                  <w:sz w:val="24"/>
                  <w:szCs w:val="24"/>
                </w:rPr>
                <m:t>Х</m:t>
              </m:r>
            </m:e>
            <m:sub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100,</m:t>
          </m:r>
        </m:oMath>
      </m:oMathPara>
    </w:p>
    <w:p w:rsidR="00A54C77" w:rsidRPr="007733CA" w:rsidRDefault="00A54C77" w:rsidP="00AA65B4">
      <w:pPr>
        <w:pStyle w:val="Bodytext6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որտեղ՝</w:t>
      </w:r>
    </w:p>
    <w:p w:rsidR="00A17F3E" w:rsidRPr="007733CA" w:rsidRDefault="00DD4FDA" w:rsidP="00AA65B4">
      <w:pPr>
        <w:pStyle w:val="Bodytext11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Х</w:t>
      </w:r>
      <w:r w:rsidRPr="007733CA">
        <w:rPr>
          <w:rFonts w:ascii="Sylfaen" w:hAnsi="Sylfaen"/>
          <w:sz w:val="24"/>
          <w:szCs w:val="24"/>
          <w:vertAlign w:val="subscript"/>
        </w:rPr>
        <w:t>d</w:t>
      </w:r>
      <w:r w:rsidRPr="007733CA">
        <w:rPr>
          <w:rFonts w:ascii="Sylfaen" w:hAnsi="Sylfaen"/>
          <w:sz w:val="24"/>
          <w:szCs w:val="24"/>
        </w:rPr>
        <w:t xml:space="preserve">՝ ցուցանիշի արժեքը </w:t>
      </w:r>
      <w:r w:rsidR="00E2176B" w:rsidRPr="007733CA">
        <w:rPr>
          <w:rFonts w:ascii="Sylfaen" w:hAnsi="Sylfaen"/>
          <w:sz w:val="24"/>
          <w:szCs w:val="24"/>
        </w:rPr>
        <w:t>շարժի</w:t>
      </w:r>
      <w:r w:rsidR="00DB5936" w:rsidRPr="007733CA">
        <w:rPr>
          <w:rFonts w:ascii="Sylfaen" w:hAnsi="Sylfaen"/>
          <w:sz w:val="24"/>
          <w:szCs w:val="24"/>
        </w:rPr>
        <w:t xml:space="preserve"> մեջ </w:t>
      </w:r>
      <w:r w:rsidRPr="007733CA">
        <w:rPr>
          <w:rFonts w:ascii="Sylfaen" w:hAnsi="Sylfaen"/>
          <w:sz w:val="24"/>
          <w:szCs w:val="24"/>
        </w:rPr>
        <w:t>(ցուցիչ).</w:t>
      </w:r>
    </w:p>
    <w:p w:rsidR="00A17F3E" w:rsidRPr="007733CA" w:rsidRDefault="00DD4FDA" w:rsidP="00AA65B4">
      <w:pPr>
        <w:pStyle w:val="Bodytext11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X</w:t>
      </w:r>
      <w:r w:rsidRPr="007733CA">
        <w:rPr>
          <w:rFonts w:ascii="Sylfaen" w:hAnsi="Sylfaen"/>
          <w:sz w:val="24"/>
          <w:szCs w:val="24"/>
          <w:vertAlign w:val="subscript"/>
        </w:rPr>
        <w:t>t</w:t>
      </w:r>
      <w:r w:rsidRPr="007733CA">
        <w:rPr>
          <w:rFonts w:ascii="Sylfaen" w:hAnsi="Sylfaen"/>
          <w:sz w:val="24"/>
          <w:szCs w:val="24"/>
        </w:rPr>
        <w:t>`t թվականին ցուցանիշի արժեքը.</w:t>
      </w:r>
    </w:p>
    <w:p w:rsidR="00A17F3E" w:rsidRPr="007733CA" w:rsidRDefault="00DD4FDA" w:rsidP="00AA65B4">
      <w:pPr>
        <w:pStyle w:val="Bodytext11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X</w:t>
      </w:r>
      <w:r w:rsidRPr="007733CA">
        <w:rPr>
          <w:rFonts w:ascii="Sylfaen" w:hAnsi="Sylfaen"/>
          <w:sz w:val="24"/>
          <w:szCs w:val="24"/>
          <w:vertAlign w:val="subscript"/>
        </w:rPr>
        <w:t>t-1</w:t>
      </w:r>
      <w:r w:rsidRPr="007733CA">
        <w:rPr>
          <w:rFonts w:ascii="Sylfaen" w:hAnsi="Sylfaen"/>
          <w:sz w:val="24"/>
          <w:szCs w:val="24"/>
        </w:rPr>
        <w:t>` t-1 թվականին ցուցանիշի արժեքը։</w:t>
      </w:r>
    </w:p>
    <w:p w:rsidR="00A17F3E" w:rsidRPr="007733CA" w:rsidRDefault="00C4560E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Վ</w:t>
      </w:r>
      <w:r w:rsidR="00DD4FDA" w:rsidRPr="007733CA">
        <w:rPr>
          <w:rFonts w:ascii="Sylfaen" w:hAnsi="Sylfaen"/>
          <w:sz w:val="24"/>
          <w:szCs w:val="24"/>
        </w:rPr>
        <w:t>իճակագրական ցուցանիշների վերլուծությունը</w:t>
      </w:r>
      <w:r w:rsidR="00D45A31" w:rsidRPr="007733CA">
        <w:rPr>
          <w:rFonts w:ascii="Sylfaen" w:hAnsi="Sylfaen"/>
          <w:sz w:val="24"/>
          <w:szCs w:val="24"/>
        </w:rPr>
        <w:t xml:space="preserve"> շարժի</w:t>
      </w:r>
      <w:r w:rsidRPr="007733CA">
        <w:rPr>
          <w:rFonts w:ascii="Sylfaen" w:hAnsi="Sylfaen"/>
          <w:sz w:val="24"/>
          <w:szCs w:val="24"/>
        </w:rPr>
        <w:t xml:space="preserve"> մեջ</w:t>
      </w:r>
      <w:r w:rsidR="00DD4FDA" w:rsidRPr="007733CA">
        <w:rPr>
          <w:rFonts w:ascii="Sylfaen" w:hAnsi="Sylfaen"/>
          <w:sz w:val="24"/>
          <w:szCs w:val="24"/>
        </w:rPr>
        <w:t xml:space="preserve"> պայմանավորված է </w:t>
      </w:r>
      <w:r w:rsidR="00FF050F" w:rsidRPr="007733CA">
        <w:rPr>
          <w:rFonts w:ascii="Sylfaen" w:hAnsi="Sylfaen"/>
          <w:sz w:val="24"/>
          <w:szCs w:val="24"/>
        </w:rPr>
        <w:t>նրան</w:t>
      </w:r>
      <w:r w:rsidR="00DD4FDA" w:rsidRPr="007733CA">
        <w:rPr>
          <w:rFonts w:ascii="Sylfaen" w:hAnsi="Sylfaen"/>
          <w:sz w:val="24"/>
          <w:szCs w:val="24"/>
        </w:rPr>
        <w:t>ով, որ դրանք թույլ են տալիս հետ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DD4FDA" w:rsidRPr="007733CA">
        <w:rPr>
          <w:rFonts w:ascii="Sylfaen" w:hAnsi="Sylfaen"/>
          <w:sz w:val="24"/>
          <w:szCs w:val="24"/>
        </w:rPr>
        <w:t>ել փոփոխություններին, որոնց հանգ</w:t>
      </w:r>
      <w:r w:rsidRPr="007733CA">
        <w:rPr>
          <w:rFonts w:ascii="Sylfaen" w:hAnsi="Sylfaen"/>
          <w:sz w:val="24"/>
          <w:szCs w:val="24"/>
        </w:rPr>
        <w:t>եցր</w:t>
      </w:r>
      <w:r w:rsidR="00DD4FDA" w:rsidRPr="007733CA">
        <w:rPr>
          <w:rFonts w:ascii="Sylfaen" w:hAnsi="Sylfaen"/>
          <w:sz w:val="24"/>
          <w:szCs w:val="24"/>
        </w:rPr>
        <w:t xml:space="preserve">ել են կարգավորման պետական միջոցները։ </w:t>
      </w:r>
      <w:r w:rsidR="006418B4" w:rsidRPr="007733CA">
        <w:rPr>
          <w:rFonts w:ascii="Sylfaen" w:hAnsi="Sylfaen"/>
          <w:sz w:val="24"/>
          <w:szCs w:val="24"/>
        </w:rPr>
        <w:t xml:space="preserve">Շարժի </w:t>
      </w:r>
      <w:r w:rsidR="00DD4FDA" w:rsidRPr="007733CA">
        <w:rPr>
          <w:rFonts w:ascii="Sylfaen" w:hAnsi="Sylfaen"/>
          <w:sz w:val="24"/>
          <w:szCs w:val="24"/>
        </w:rPr>
        <w:t>ցուցիչների կիրառման շնորհիվ հնարավոր է դրանց ագրեգաց</w:t>
      </w:r>
      <w:r w:rsidRPr="007733CA">
        <w:rPr>
          <w:rFonts w:ascii="Sylfaen" w:hAnsi="Sylfaen"/>
          <w:sz w:val="24"/>
          <w:szCs w:val="24"/>
        </w:rPr>
        <w:t>ման մակարդակի</w:t>
      </w:r>
      <w:r w:rsidR="00DD4FDA" w:rsidRPr="007733CA">
        <w:rPr>
          <w:rFonts w:ascii="Sylfaen" w:hAnsi="Sylfaen"/>
          <w:sz w:val="24"/>
          <w:szCs w:val="24"/>
        </w:rPr>
        <w:t xml:space="preserve"> բարձր</w:t>
      </w:r>
      <w:r w:rsidRPr="007733CA">
        <w:rPr>
          <w:rFonts w:ascii="Sylfaen" w:hAnsi="Sylfaen"/>
          <w:sz w:val="24"/>
          <w:szCs w:val="24"/>
        </w:rPr>
        <w:t>ացում</w:t>
      </w:r>
      <w:r w:rsidR="00DD4FDA" w:rsidRPr="007733CA">
        <w:rPr>
          <w:rFonts w:ascii="Sylfaen" w:hAnsi="Sylfaen"/>
          <w:sz w:val="24"/>
          <w:szCs w:val="24"/>
        </w:rPr>
        <w:t xml:space="preserve"> (ոչ միայն մեկ նպատակի հասնելու համար, այլ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DD4FDA" w:rsidRPr="007733CA">
        <w:rPr>
          <w:rFonts w:ascii="Sylfaen" w:hAnsi="Sylfaen"/>
          <w:sz w:val="24"/>
          <w:szCs w:val="24"/>
        </w:rPr>
        <w:t xml:space="preserve"> </w:t>
      </w:r>
      <w:r w:rsidR="00DD4FDA" w:rsidRPr="007733CA">
        <w:rPr>
          <w:rFonts w:ascii="Sylfaen" w:hAnsi="Sylfaen"/>
          <w:sz w:val="24"/>
          <w:szCs w:val="24"/>
        </w:rPr>
        <w:lastRenderedPageBreak/>
        <w:t xml:space="preserve">ընդհանուր առմամբ գյուղատնտեսության, ագրոպարենային շուկայի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="00DD4FDA" w:rsidRPr="007733CA">
        <w:rPr>
          <w:rFonts w:ascii="Sylfaen" w:hAnsi="Sylfaen"/>
          <w:sz w:val="24"/>
          <w:szCs w:val="24"/>
        </w:rPr>
        <w:t xml:space="preserve"> (կամ) ագրոարդյունաբերական համալիրի համար)։</w:t>
      </w:r>
    </w:p>
    <w:p w:rsidR="00A17F3E" w:rsidRPr="007733CA" w:rsidRDefault="00AD0310" w:rsidP="00E56F3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22.</w:t>
      </w:r>
      <w:r w:rsidR="00E56F3A" w:rsidRPr="007733CA">
        <w:rPr>
          <w:rFonts w:ascii="Sylfaen" w:hAnsi="Sylfaen"/>
          <w:sz w:val="24"/>
          <w:szCs w:val="24"/>
        </w:rPr>
        <w:tab/>
      </w:r>
      <w:r w:rsidR="006418B4" w:rsidRPr="007733CA">
        <w:rPr>
          <w:rFonts w:ascii="Sylfaen" w:hAnsi="Sylfaen"/>
          <w:sz w:val="24"/>
          <w:szCs w:val="24"/>
        </w:rPr>
        <w:t>Կ</w:t>
      </w:r>
      <w:r w:rsidRPr="007733CA">
        <w:rPr>
          <w:rFonts w:ascii="Sylfaen" w:hAnsi="Sylfaen"/>
          <w:sz w:val="24"/>
          <w:szCs w:val="24"/>
        </w:rPr>
        <w:t>ախված</w:t>
      </w:r>
      <w:r w:rsidR="006418B4" w:rsidRPr="007733CA">
        <w:rPr>
          <w:rFonts w:ascii="Sylfaen" w:hAnsi="Sylfaen"/>
          <w:sz w:val="24"/>
          <w:szCs w:val="24"/>
        </w:rPr>
        <w:t xml:space="preserve"> շարժից</w:t>
      </w:r>
      <w:r w:rsidRPr="007733CA">
        <w:rPr>
          <w:rFonts w:ascii="Sylfaen" w:hAnsi="Sylfaen"/>
          <w:sz w:val="24"/>
          <w:szCs w:val="24"/>
        </w:rPr>
        <w:t xml:space="preserve"> (փոփոխությունների բարելավում, վատթարացում կամ բացակայություն)՝ յուրաքանչյուր վիճակագրական ցուցանիշի դրվում է «</w:t>
      </w:r>
      <w:r w:rsidR="006418B4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 xml:space="preserve">գնահատման» 1 բալ։ Բալեր դնելը պայմանավորված է հաշվարկների միասնականացման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տարբեր ցուցանիշների մեկնաբան</w:t>
      </w:r>
      <w:r w:rsidR="006418B4" w:rsidRPr="007733CA">
        <w:rPr>
          <w:rFonts w:ascii="Sylfaen" w:hAnsi="Sylfaen"/>
          <w:sz w:val="24"/>
          <w:szCs w:val="24"/>
        </w:rPr>
        <w:t>ման</w:t>
      </w:r>
      <w:r w:rsidRPr="007733CA">
        <w:rPr>
          <w:rFonts w:ascii="Sylfaen" w:hAnsi="Sylfaen"/>
          <w:sz w:val="24"/>
          <w:szCs w:val="24"/>
        </w:rPr>
        <w:t xml:space="preserve"> անհրաժեշտությա</w:t>
      </w:r>
      <w:r w:rsidR="006418B4" w:rsidRPr="007733CA">
        <w:rPr>
          <w:rFonts w:ascii="Sylfaen" w:hAnsi="Sylfaen"/>
          <w:sz w:val="24"/>
          <w:szCs w:val="24"/>
        </w:rPr>
        <w:t>մբ</w:t>
      </w:r>
      <w:r w:rsidRPr="007733CA">
        <w:rPr>
          <w:rFonts w:ascii="Sylfaen" w:hAnsi="Sylfaen"/>
          <w:sz w:val="24"/>
          <w:szCs w:val="24"/>
        </w:rPr>
        <w:t>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«</w:t>
      </w:r>
      <w:r w:rsidR="006418B4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 xml:space="preserve">գնահատման» բալը կարող է ընդունել 3 արժեք՝ «- 1» (ցուցանիշի </w:t>
      </w:r>
      <w:r w:rsidR="006418B4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 xml:space="preserve">վատթարացման դեպքում), «0» (ցուցանիշի </w:t>
      </w:r>
      <w:r w:rsidR="00B50476" w:rsidRPr="007733CA">
        <w:rPr>
          <w:rFonts w:ascii="Sylfaen" w:hAnsi="Sylfaen"/>
          <w:sz w:val="24"/>
          <w:szCs w:val="24"/>
        </w:rPr>
        <w:t>շարժի</w:t>
      </w:r>
      <w:r w:rsidR="006418B4" w:rsidRPr="007733CA">
        <w:rPr>
          <w:rFonts w:ascii="Sylfaen" w:hAnsi="Sylfaen"/>
          <w:sz w:val="24"/>
          <w:szCs w:val="24"/>
        </w:rPr>
        <w:t xml:space="preserve"> մեջ </w:t>
      </w:r>
      <w:r w:rsidRPr="007733CA">
        <w:rPr>
          <w:rFonts w:ascii="Sylfaen" w:hAnsi="Sylfaen"/>
          <w:sz w:val="24"/>
          <w:szCs w:val="24"/>
        </w:rPr>
        <w:t>փոփոխությունների բացակայության դեպքում), «1»</w:t>
      </w:r>
      <w:r w:rsidR="003260AA"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t xml:space="preserve">(ցուցանիշի </w:t>
      </w:r>
      <w:r w:rsidR="006418B4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>բարելավման դեպքում)։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Արդյունքում յուրաքանչյուր նպատակի համար գումարվում են յուրաքանչյուր չափորոշիչի համար ստացված բալերը։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Այնուհետ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հաշվարկվում է նպատակի գնահատման ցուցիչը (որը նույնպես վերլուծվում է </w:t>
      </w:r>
      <w:r w:rsidR="00B50476" w:rsidRPr="007733CA">
        <w:rPr>
          <w:rFonts w:ascii="Sylfaen" w:hAnsi="Sylfaen"/>
          <w:sz w:val="24"/>
          <w:szCs w:val="24"/>
        </w:rPr>
        <w:t>շարժի մեջ</w:t>
      </w:r>
      <w:r w:rsidRPr="007733CA">
        <w:rPr>
          <w:rFonts w:ascii="Sylfaen" w:hAnsi="Sylfaen"/>
          <w:sz w:val="24"/>
          <w:szCs w:val="24"/>
        </w:rPr>
        <w:t>)՝ «</w:t>
      </w:r>
      <w:r w:rsidR="00B50476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>գնահատման» բալերի ստացված գումարը բաժանվում է այդ նպատակի համար բալերի հնարավոր առավելագույն գումարի</w:t>
      </w:r>
      <w:r w:rsidR="00B50476" w:rsidRPr="007733CA">
        <w:rPr>
          <w:rFonts w:ascii="Sylfaen" w:hAnsi="Sylfaen"/>
          <w:sz w:val="24"/>
          <w:szCs w:val="24"/>
        </w:rPr>
        <w:t>ն</w:t>
      </w:r>
      <w:r w:rsidRPr="007733CA">
        <w:rPr>
          <w:rFonts w:ascii="Sylfaen" w:hAnsi="Sylfaen"/>
          <w:sz w:val="24"/>
          <w:szCs w:val="24"/>
        </w:rPr>
        <w:t>, հետ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յալ բանաձ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>երով՝</w:t>
      </w:r>
    </w:p>
    <w:p w:rsidR="00EC3C25" w:rsidRPr="007733CA" w:rsidRDefault="002A017F" w:rsidP="00AA65B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Sylfae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I</m:t>
              </m:r>
              <m:d>
                <m:d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i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k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Sylfaen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Sylfaen"/>
                          <w:sz w:val="24"/>
                          <w:szCs w:val="24"/>
                        </w:rPr>
                        <m:t>n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n,k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i,t</m:t>
                          </m:r>
                        </m:sup>
                      </m:sSubSup>
                    </m:e>
                  </m:nary>
                </m:e>
              </m:nary>
            </m:num>
            <m:den>
              <m:func>
                <m:func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max(</m:t>
                  </m:r>
                </m:fName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Sylfaen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Sylfaen"/>
                          <w:sz w:val="24"/>
                          <w:szCs w:val="24"/>
                        </w:rPr>
                        <m:t>k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n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  <m:t>n,k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Sylfaen"/>
                                  <w:sz w:val="24"/>
                                  <w:szCs w:val="24"/>
                                </w:rPr>
                                <m:t>i,t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Sylfaen"/>
                              <w:sz w:val="24"/>
                              <w:szCs w:val="24"/>
                            </w:rPr>
                            <m:t>)</m:t>
                          </m:r>
                        </m:e>
                      </m:nary>
                    </m:e>
                  </m:nary>
                </m:e>
              </m:func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100,</m:t>
          </m:r>
        </m:oMath>
      </m:oMathPara>
    </w:p>
    <w:p w:rsidR="00EC3C25" w:rsidRPr="007733CA" w:rsidRDefault="00EC3C25" w:rsidP="00AA65B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EC3C25" w:rsidRPr="007733CA" w:rsidRDefault="002A017F" w:rsidP="00AA65B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Sylfaen"/>
                  <w:sz w:val="24"/>
                  <w:szCs w:val="24"/>
                </w:rPr>
                <m:t>∆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I</m:t>
              </m:r>
              <m:r>
                <w:rPr>
                  <w:rFonts w:ascii="Cambria Math" w:hAnsi="Sylfae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i</m:t>
              </m:r>
              <m:r>
                <w:rPr>
                  <w:rFonts w:ascii="Cambria Math" w:hAnsi="Sylfaen"/>
                  <w:sz w:val="24"/>
                  <w:szCs w:val="24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Sylfae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Sylfae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I(i)</m:t>
              </m:r>
            </m:e>
            <m:sup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Sylfae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I(i)</m:t>
              </m:r>
            </m:e>
            <m:sup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t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a</m:t>
              </m:r>
            </m:sup>
          </m:sSup>
          <m:r>
            <m:rPr>
              <m:sty m:val="p"/>
            </m:rPr>
            <w:rPr>
              <w:rFonts w:ascii="Cambria Math" w:hAnsi="Sylfaen"/>
              <w:sz w:val="24"/>
              <w:szCs w:val="24"/>
            </w:rPr>
            <m:t>,</m:t>
          </m:r>
        </m:oMath>
      </m:oMathPara>
    </w:p>
    <w:p w:rsidR="00EC3C25" w:rsidRPr="007733CA" w:rsidRDefault="00EC3C25" w:rsidP="00AA65B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որտեղ՝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I(i)</w:t>
      </w:r>
      <w:r w:rsidRPr="007733CA">
        <w:rPr>
          <w:rFonts w:ascii="Sylfaen" w:hAnsi="Sylfaen"/>
          <w:sz w:val="24"/>
          <w:szCs w:val="24"/>
          <w:vertAlign w:val="superscript"/>
        </w:rPr>
        <w:t>t</w:t>
      </w:r>
      <w:r w:rsidRPr="007733CA">
        <w:rPr>
          <w:rFonts w:ascii="Sylfaen" w:hAnsi="Sylfaen"/>
          <w:sz w:val="24"/>
          <w:szCs w:val="24"/>
        </w:rPr>
        <w:t xml:space="preserve">՝ t </w:t>
      </w:r>
      <w:r w:rsidR="00B50476" w:rsidRPr="007733CA">
        <w:rPr>
          <w:rFonts w:ascii="Sylfaen" w:hAnsi="Sylfaen"/>
          <w:sz w:val="24"/>
          <w:szCs w:val="24"/>
        </w:rPr>
        <w:t xml:space="preserve">թվականին </w:t>
      </w:r>
      <w:r w:rsidRPr="007733CA">
        <w:rPr>
          <w:rFonts w:ascii="Sylfaen" w:hAnsi="Sylfaen"/>
          <w:sz w:val="24"/>
          <w:szCs w:val="24"/>
        </w:rPr>
        <w:t>(i) նպատակի գնահատման ցուցիչը.</w:t>
      </w:r>
    </w:p>
    <w:p w:rsidR="00A17F3E" w:rsidRPr="007733CA" w:rsidRDefault="002A017F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m:oMath>
        <m:sSubSup>
          <m:sSubSupPr>
            <m:ctrlPr>
              <w:rPr>
                <w:rFonts w:ascii="Cambria Math" w:hAnsi="Sylfaen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n,k</m:t>
            </m:r>
          </m:sub>
          <m:sup>
            <m:r>
              <m:rPr>
                <m:sty m:val="p"/>
              </m:rPr>
              <w:rPr>
                <w:rFonts w:ascii="Cambria Math" w:hAnsi="Sylfaen"/>
                <w:sz w:val="24"/>
                <w:szCs w:val="24"/>
              </w:rPr>
              <m:t>i,t</m:t>
            </m:r>
          </m:sup>
        </m:sSubSup>
      </m:oMath>
      <w:r w:rsidR="00B50476" w:rsidRPr="007733CA">
        <w:rPr>
          <w:rFonts w:ascii="Sylfaen" w:hAnsi="Sylfaen"/>
          <w:sz w:val="24"/>
          <w:szCs w:val="24"/>
        </w:rPr>
        <w:t>՝</w:t>
      </w:r>
      <w:r w:rsidR="00A07325" w:rsidRPr="007733CA">
        <w:rPr>
          <w:rFonts w:ascii="Sylfaen" w:hAnsi="Sylfaen"/>
          <w:sz w:val="24"/>
          <w:szCs w:val="24"/>
        </w:rPr>
        <w:t xml:space="preserve"> t </w:t>
      </w:r>
      <w:r w:rsidR="00B50476" w:rsidRPr="007733CA">
        <w:rPr>
          <w:rFonts w:ascii="Sylfaen" w:hAnsi="Sylfaen"/>
          <w:sz w:val="24"/>
          <w:szCs w:val="24"/>
        </w:rPr>
        <w:t xml:space="preserve">թվականին </w:t>
      </w:r>
      <w:r w:rsidR="00A07325" w:rsidRPr="007733CA">
        <w:rPr>
          <w:rFonts w:ascii="Sylfaen" w:hAnsi="Sylfaen"/>
          <w:sz w:val="24"/>
          <w:szCs w:val="24"/>
        </w:rPr>
        <w:t>i նպատակի k չափորոշիչի շրջանակներում n</w:t>
      </w:r>
      <w:r w:rsidR="00B50476" w:rsidRPr="007733CA">
        <w:rPr>
          <w:rFonts w:ascii="Sylfaen" w:hAnsi="Sylfaen"/>
          <w:sz w:val="24"/>
          <w:szCs w:val="24"/>
        </w:rPr>
        <w:t>-րդ</w:t>
      </w:r>
      <w:r w:rsidR="00A07325" w:rsidRPr="007733CA">
        <w:rPr>
          <w:rFonts w:ascii="Sylfaen" w:hAnsi="Sylfaen"/>
          <w:sz w:val="24"/>
          <w:szCs w:val="24"/>
        </w:rPr>
        <w:t xml:space="preserve"> ցուցանիշի բալի արժեքը («</w:t>
      </w:r>
      <w:r w:rsidR="00B50476" w:rsidRPr="007733CA">
        <w:rPr>
          <w:rFonts w:ascii="Sylfaen" w:hAnsi="Sylfaen"/>
          <w:sz w:val="24"/>
          <w:szCs w:val="24"/>
        </w:rPr>
        <w:t xml:space="preserve">շարժի </w:t>
      </w:r>
      <w:r w:rsidR="00A07325" w:rsidRPr="007733CA">
        <w:rPr>
          <w:rFonts w:ascii="Sylfaen" w:hAnsi="Sylfaen"/>
          <w:sz w:val="24"/>
          <w:szCs w:val="24"/>
        </w:rPr>
        <w:t>գնահատման» բալ).</w:t>
      </w:r>
    </w:p>
    <w:p w:rsidR="00A17F3E" w:rsidRPr="007733CA" w:rsidRDefault="001F0DE8" w:rsidP="00AA65B4">
      <w:pPr>
        <w:pStyle w:val="Bodytext11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lastRenderedPageBreak/>
        <w:t>∆I (i)</w:t>
      </w:r>
      <w:r w:rsidRPr="007733CA">
        <w:rPr>
          <w:rFonts w:ascii="Sylfaen" w:hAnsi="Sylfaen"/>
          <w:sz w:val="24"/>
          <w:szCs w:val="24"/>
          <w:vertAlign w:val="superscript"/>
        </w:rPr>
        <w:t>t</w:t>
      </w:r>
      <w:r w:rsidR="00B50476" w:rsidRPr="007733CA">
        <w:rPr>
          <w:rFonts w:ascii="Sylfaen" w:hAnsi="Sylfaen"/>
          <w:sz w:val="24"/>
          <w:szCs w:val="24"/>
        </w:rPr>
        <w:t>՝</w:t>
      </w:r>
      <w:r w:rsidRPr="007733CA">
        <w:rPr>
          <w:rFonts w:ascii="Sylfaen" w:hAnsi="Sylfaen"/>
          <w:sz w:val="24"/>
          <w:szCs w:val="24"/>
        </w:rPr>
        <w:t xml:space="preserve"> նպատակի գնահատման ցուցիչի </w:t>
      </w:r>
      <w:r w:rsidR="00B50476" w:rsidRPr="007733CA">
        <w:rPr>
          <w:rFonts w:ascii="Sylfaen" w:hAnsi="Sylfaen"/>
          <w:sz w:val="24"/>
          <w:szCs w:val="24"/>
        </w:rPr>
        <w:t>շարժ</w:t>
      </w:r>
      <w:r w:rsidRPr="007733CA">
        <w:rPr>
          <w:rFonts w:ascii="Sylfaen" w:hAnsi="Sylfaen"/>
          <w:sz w:val="24"/>
          <w:szCs w:val="24"/>
        </w:rPr>
        <w:t>.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 xml:space="preserve">а՝ ժամանակային </w:t>
      </w:r>
      <w:r w:rsidR="00D45A31" w:rsidRPr="007733CA">
        <w:rPr>
          <w:rFonts w:ascii="Sylfaen" w:hAnsi="Sylfaen"/>
          <w:sz w:val="24"/>
          <w:szCs w:val="24"/>
        </w:rPr>
        <w:t>հար</w:t>
      </w:r>
      <w:r w:rsidR="003C4D9F" w:rsidRPr="007733CA">
        <w:rPr>
          <w:rFonts w:ascii="Sylfaen" w:hAnsi="Sylfaen"/>
          <w:sz w:val="24"/>
          <w:szCs w:val="24"/>
        </w:rPr>
        <w:t xml:space="preserve">աչափ </w:t>
      </w:r>
      <w:r w:rsidRPr="007733CA">
        <w:rPr>
          <w:rFonts w:ascii="Sylfaen" w:hAnsi="Sylfaen"/>
          <w:sz w:val="24"/>
          <w:szCs w:val="24"/>
        </w:rPr>
        <w:t xml:space="preserve">նպատակի գնահատման ցուցիչի </w:t>
      </w:r>
      <w:r w:rsidR="003C4D9F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>հաշվարկման համար (նախորդ ժամանակահատված (t-a = t-1), բազային ժամանակահատված («t-а»</w:t>
      </w:r>
      <w:r w:rsidR="003C4D9F" w:rsidRPr="007733CA">
        <w:rPr>
          <w:rFonts w:ascii="Sylfaen" w:hAnsi="Sylfaen"/>
          <w:sz w:val="24"/>
          <w:szCs w:val="24"/>
        </w:rPr>
        <w:t>-ի</w:t>
      </w:r>
      <w:r w:rsidRPr="007733CA">
        <w:rPr>
          <w:rFonts w:ascii="Sylfaen" w:hAnsi="Sylfaen"/>
          <w:sz w:val="24"/>
          <w:szCs w:val="24"/>
        </w:rPr>
        <w:t xml:space="preserve"> փոխարեն «2006»), ժամանակահատվածի համար միջին արժեք (տվյալ դեպքում «t-а» ցուցիչով նպատակի գնահատման ցուցիչը կսահմանվի որպես բոլոր t ժամանակահատվածների համար նպատակի գնահատման ցուցիչների գումար՝ բաժանված ժամանակահատվածների քանակի</w:t>
      </w:r>
      <w:r w:rsidR="003C4D9F" w:rsidRPr="007733CA">
        <w:rPr>
          <w:rFonts w:ascii="Sylfaen" w:hAnsi="Sylfaen"/>
          <w:sz w:val="24"/>
          <w:szCs w:val="24"/>
        </w:rPr>
        <w:t>ն</w:t>
      </w:r>
      <w:r w:rsidRPr="007733CA">
        <w:rPr>
          <w:rFonts w:ascii="Sylfaen" w:hAnsi="Sylfaen"/>
          <w:sz w:val="24"/>
          <w:szCs w:val="24"/>
        </w:rPr>
        <w:t>))։</w:t>
      </w:r>
    </w:p>
    <w:p w:rsidR="00A17F3E" w:rsidRPr="007733CA" w:rsidRDefault="00DD4FDA" w:rsidP="00E56F3A">
      <w:pPr>
        <w:pStyle w:val="Bodytext20"/>
        <w:shd w:val="clear" w:color="auto" w:fill="auto"/>
        <w:spacing w:before="0" w:after="160" w:line="360" w:lineRule="auto"/>
        <w:ind w:left="1134" w:hanging="1134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Օրինակ. «Պարենային անկախության ապահովում» նպատակի շրջանակներում գումարային ձ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ով ներկայացված է 10 ցուցանիշ (բոլոր չափորոշիչներով ցուցանիշների գումարը)։ Այսպիսով, հնարավոր </w:t>
      </w:r>
      <w:r w:rsidR="008D6FBF" w:rsidRPr="007733CA">
        <w:rPr>
          <w:rFonts w:ascii="Sylfaen" w:hAnsi="Sylfaen"/>
          <w:sz w:val="24"/>
          <w:szCs w:val="24"/>
        </w:rPr>
        <w:t xml:space="preserve">առավելագույն </w:t>
      </w:r>
      <w:r w:rsidRPr="007733CA">
        <w:rPr>
          <w:rFonts w:ascii="Sylfaen" w:hAnsi="Sylfaen"/>
          <w:sz w:val="24"/>
          <w:szCs w:val="24"/>
        </w:rPr>
        <w:t>արժեքը, որը հնարավոր է ստանալ տվյալ նպատակի համար, կազմում է 10 բալ։ Ընդ որում, եթե հաշվարկներն ունեն, օրինակ</w:t>
      </w:r>
      <w:r w:rsidR="008D6FBF" w:rsidRPr="007733CA">
        <w:rPr>
          <w:rFonts w:ascii="Sylfaen" w:hAnsi="Sylfaen"/>
          <w:sz w:val="24"/>
          <w:szCs w:val="24"/>
        </w:rPr>
        <w:t>,</w:t>
      </w:r>
      <w:r w:rsidRPr="007733CA">
        <w:rPr>
          <w:rFonts w:ascii="Sylfaen" w:hAnsi="Sylfaen"/>
          <w:sz w:val="24"/>
          <w:szCs w:val="24"/>
        </w:rPr>
        <w:t xml:space="preserve"> 5 բալ արժեքը</w:t>
      </w:r>
      <w:r w:rsidR="00FF050F" w:rsidRPr="007733CA">
        <w:rPr>
          <w:rFonts w:ascii="Sylfaen" w:hAnsi="Sylfaen"/>
          <w:sz w:val="24"/>
          <w:szCs w:val="24"/>
        </w:rPr>
        <w:t>՝</w:t>
      </w:r>
      <w:r w:rsidRPr="007733CA">
        <w:rPr>
          <w:rFonts w:ascii="Sylfaen" w:hAnsi="Sylfaen"/>
          <w:sz w:val="24"/>
          <w:szCs w:val="24"/>
        </w:rPr>
        <w:t xml:space="preserve"> «պարենային անկախության ապահովում» նպատակի համար, ապա տվյալ նպատակի գնահատման ցուցիչը կկազմի 0</w:t>
      </w:r>
      <w:r w:rsidR="008D6FBF" w:rsidRPr="007733CA">
        <w:rPr>
          <w:rFonts w:ascii="Sylfaen" w:hAnsi="Sylfaen"/>
          <w:sz w:val="24"/>
          <w:szCs w:val="24"/>
        </w:rPr>
        <w:t>,</w:t>
      </w:r>
      <w:r w:rsidRPr="007733CA">
        <w:rPr>
          <w:rFonts w:ascii="Sylfaen" w:hAnsi="Sylfaen"/>
          <w:sz w:val="24"/>
          <w:szCs w:val="24"/>
        </w:rPr>
        <w:t>5 կամ 50 %։ Տվյալ</w:t>
      </w:r>
      <w:r w:rsidR="001D5E7E" w:rsidRPr="007733CA">
        <w:rPr>
          <w:rFonts w:ascii="Sylfaen" w:hAnsi="Sylfaen"/>
          <w:sz w:val="24"/>
          <w:szCs w:val="24"/>
        </w:rPr>
        <w:t> </w:t>
      </w:r>
      <w:r w:rsidRPr="007733CA">
        <w:rPr>
          <w:rFonts w:ascii="Sylfaen" w:hAnsi="Sylfaen"/>
          <w:sz w:val="24"/>
          <w:szCs w:val="24"/>
        </w:rPr>
        <w:t xml:space="preserve">արժեքը վկայում </w:t>
      </w:r>
      <w:r w:rsidRPr="007733CA">
        <w:rPr>
          <w:rFonts w:ascii="Sylfaen" w:hAnsi="Sylfaen"/>
          <w:spacing w:val="-4"/>
          <w:sz w:val="24"/>
          <w:szCs w:val="24"/>
        </w:rPr>
        <w:t>է այն մասին, որ նպատակն իրագործվել է 50 %-</w:t>
      </w:r>
      <w:r w:rsidRPr="007733CA">
        <w:rPr>
          <w:rFonts w:ascii="Sylfaen" w:hAnsi="Sylfaen"/>
          <w:sz w:val="24"/>
          <w:szCs w:val="24"/>
        </w:rPr>
        <w:t>ով։ Սակայն միայն թվային արժեքը (այսինքն՝ ընթացիկ տարվա համար արժեքը) թույլ չի տալիս ակնառու կերպով գնահատել պետական կարգավորման միջոցների արդյունավետությունը։ Այսպես</w:t>
      </w:r>
      <w:r w:rsidR="00FF050F" w:rsidRPr="007733CA">
        <w:rPr>
          <w:rFonts w:ascii="Sylfaen" w:hAnsi="Sylfaen"/>
          <w:sz w:val="24"/>
          <w:szCs w:val="24"/>
        </w:rPr>
        <w:t>,</w:t>
      </w:r>
      <w:r w:rsidRPr="007733CA">
        <w:rPr>
          <w:rFonts w:ascii="Sylfaen" w:hAnsi="Sylfaen"/>
          <w:sz w:val="24"/>
          <w:szCs w:val="24"/>
        </w:rPr>
        <w:t xml:space="preserve"> օրինակ՝ նախորդ տարի գնահատումը կարող էր կազմել 25 %, ինչը վկայում է այն մասին, որ ընթացիկ տարում միջոցների արդյունավետությունն աճել է։ Այսպիսով, գնահատ</w:t>
      </w:r>
      <w:r w:rsidR="00793363" w:rsidRPr="007733CA">
        <w:rPr>
          <w:rFonts w:ascii="Sylfaen" w:hAnsi="Sylfaen"/>
          <w:sz w:val="24"/>
          <w:szCs w:val="24"/>
        </w:rPr>
        <w:t>ման տվյալներն</w:t>
      </w:r>
      <w:r w:rsidRPr="007733CA">
        <w:rPr>
          <w:rFonts w:ascii="Sylfaen" w:hAnsi="Sylfaen"/>
          <w:sz w:val="24"/>
          <w:szCs w:val="24"/>
        </w:rPr>
        <w:t xml:space="preserve"> ուսումնասիր</w:t>
      </w:r>
      <w:r w:rsidR="00BE1957" w:rsidRPr="007733CA">
        <w:rPr>
          <w:rFonts w:ascii="Sylfaen" w:hAnsi="Sylfaen"/>
          <w:sz w:val="24"/>
          <w:szCs w:val="24"/>
        </w:rPr>
        <w:t>վ</w:t>
      </w:r>
      <w:r w:rsidRPr="007733CA">
        <w:rPr>
          <w:rFonts w:ascii="Sylfaen" w:hAnsi="Sylfaen"/>
          <w:sz w:val="24"/>
          <w:szCs w:val="24"/>
        </w:rPr>
        <w:t xml:space="preserve">ում են </w:t>
      </w:r>
      <w:r w:rsidR="00793363" w:rsidRPr="007733CA">
        <w:rPr>
          <w:rFonts w:ascii="Sylfaen" w:hAnsi="Sylfaen"/>
          <w:sz w:val="24"/>
          <w:szCs w:val="24"/>
        </w:rPr>
        <w:t>շարժի մեջ</w:t>
      </w:r>
      <w:r w:rsidRPr="007733CA">
        <w:rPr>
          <w:rFonts w:ascii="Sylfaen" w:hAnsi="Sylfaen"/>
          <w:sz w:val="24"/>
          <w:szCs w:val="24"/>
        </w:rPr>
        <w:t>։</w:t>
      </w:r>
    </w:p>
    <w:p w:rsidR="00A17F3E" w:rsidRPr="007733CA" w:rsidRDefault="00AD0310" w:rsidP="001D5E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23.</w:t>
      </w:r>
      <w:r w:rsidR="001D5E7E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Նպատակի գնահատման ցուցիչի </w:t>
      </w:r>
      <w:r w:rsidR="00ED7752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 xml:space="preserve">վերլուծությունը բնութագրում է առաջադրված նպատակներին հասնելու աստիճանը պետական միջոցների իրագործման միջոցով, քանի որ նպատակի գնահատման ցուցիչը համարվում է կարգավորման պետական միջոցների արդյունավետության գնահատման գործիք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վկայում է պետական կարգավորման միջոցների կիրառման </w:t>
      </w:r>
      <w:r w:rsidR="00ED7752" w:rsidRPr="007733CA">
        <w:rPr>
          <w:rFonts w:ascii="Sylfaen" w:hAnsi="Sylfaen"/>
          <w:sz w:val="24"/>
          <w:szCs w:val="24"/>
        </w:rPr>
        <w:t xml:space="preserve">հետ կապված </w:t>
      </w:r>
      <w:r w:rsidRPr="007733CA">
        <w:rPr>
          <w:rFonts w:ascii="Sylfaen" w:hAnsi="Sylfaen"/>
          <w:sz w:val="24"/>
          <w:szCs w:val="24"/>
        </w:rPr>
        <w:t xml:space="preserve">ոլորտում ցուցանիշների դրական </w:t>
      </w:r>
      <w:r w:rsidR="00ED7752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>մասնաբաժնի մասին։</w:t>
      </w:r>
    </w:p>
    <w:p w:rsidR="00A17F3E" w:rsidRPr="007733CA" w:rsidRDefault="00DD4FDA" w:rsidP="00AA65B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lastRenderedPageBreak/>
        <w:t xml:space="preserve">Նպատակի գնահատման ցուցիչի </w:t>
      </w:r>
      <w:r w:rsidR="00ED7752" w:rsidRPr="007733CA">
        <w:rPr>
          <w:rFonts w:ascii="Sylfaen" w:hAnsi="Sylfaen"/>
          <w:sz w:val="24"/>
          <w:szCs w:val="24"/>
        </w:rPr>
        <w:t xml:space="preserve">շարժի </w:t>
      </w:r>
      <w:r w:rsidRPr="007733CA">
        <w:rPr>
          <w:rFonts w:ascii="Sylfaen" w:hAnsi="Sylfaen"/>
          <w:sz w:val="24"/>
          <w:szCs w:val="24"/>
        </w:rPr>
        <w:t>վերլուծությունը կարող է կատարվել ինչպես առանձին ժամանակահատվածների համար (օրինակ՝ նախորդ ժամանակահատվածի նկատմամբ), այնպես էլ մի քանի ժամանակահատվածների համար (օրինակ՝ հաշվի առնելով նախորդ ժամանակահատվածի, բազային</w:t>
      </w:r>
      <w:r w:rsidR="003260AA"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t xml:space="preserve">ժամանակահատվածի </w:t>
      </w:r>
      <w:r w:rsidR="003260AA" w:rsidRPr="007733CA">
        <w:rPr>
          <w:rFonts w:ascii="Sylfaen" w:hAnsi="Sylfaen"/>
          <w:sz w:val="24"/>
          <w:szCs w:val="24"/>
        </w:rPr>
        <w:t>եւ</w:t>
      </w:r>
      <w:r w:rsidRPr="007733CA">
        <w:rPr>
          <w:rFonts w:ascii="Sylfaen" w:hAnsi="Sylfaen"/>
          <w:sz w:val="24"/>
          <w:szCs w:val="24"/>
        </w:rPr>
        <w:t xml:space="preserve"> ժամանակահատվածի համար միջին արժեքի նկատմամբ </w:t>
      </w:r>
      <w:r w:rsidR="00ED7752" w:rsidRPr="007733CA">
        <w:rPr>
          <w:rFonts w:ascii="Sylfaen" w:hAnsi="Sylfaen"/>
          <w:sz w:val="24"/>
          <w:szCs w:val="24"/>
        </w:rPr>
        <w:t>շարժը</w:t>
      </w:r>
      <w:r w:rsidRPr="007733CA">
        <w:rPr>
          <w:rFonts w:ascii="Sylfaen" w:hAnsi="Sylfaen"/>
          <w:sz w:val="24"/>
          <w:szCs w:val="24"/>
        </w:rPr>
        <w:t>)։</w:t>
      </w:r>
    </w:p>
    <w:p w:rsidR="00A17F3E" w:rsidRPr="00AA65B4" w:rsidRDefault="00AD0310" w:rsidP="001D5E7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733CA">
        <w:rPr>
          <w:rFonts w:ascii="Sylfaen" w:hAnsi="Sylfaen"/>
          <w:sz w:val="24"/>
          <w:szCs w:val="24"/>
        </w:rPr>
        <w:t>24.</w:t>
      </w:r>
      <w:r w:rsidR="001D5E7E" w:rsidRPr="007733CA">
        <w:rPr>
          <w:rFonts w:ascii="Sylfaen" w:hAnsi="Sylfaen"/>
          <w:sz w:val="24"/>
          <w:szCs w:val="24"/>
        </w:rPr>
        <w:tab/>
      </w:r>
      <w:r w:rsidRPr="007733CA">
        <w:rPr>
          <w:rFonts w:ascii="Sylfaen" w:hAnsi="Sylfaen"/>
          <w:sz w:val="24"/>
          <w:szCs w:val="24"/>
        </w:rPr>
        <w:t xml:space="preserve">Սույն </w:t>
      </w:r>
      <w:r w:rsidR="00E63918" w:rsidRPr="007733CA">
        <w:rPr>
          <w:rFonts w:ascii="Sylfaen" w:hAnsi="Sylfaen"/>
          <w:sz w:val="24"/>
          <w:szCs w:val="24"/>
        </w:rPr>
        <w:t>մ</w:t>
      </w:r>
      <w:r w:rsidRPr="007733CA">
        <w:rPr>
          <w:rFonts w:ascii="Sylfaen" w:hAnsi="Sylfaen"/>
          <w:sz w:val="24"/>
          <w:szCs w:val="24"/>
        </w:rPr>
        <w:t>եթոդաբանությունը թույլ է տալիս սահմանել, թե որ չափորոշիչ</w:t>
      </w:r>
      <w:r w:rsidR="00F23E60" w:rsidRPr="007733CA">
        <w:rPr>
          <w:rFonts w:ascii="Sylfaen" w:hAnsi="Sylfaen"/>
          <w:sz w:val="24"/>
          <w:szCs w:val="24"/>
        </w:rPr>
        <w:t>ն</w:t>
      </w:r>
      <w:r w:rsidR="001D5E7E" w:rsidRPr="007733CA">
        <w:rPr>
          <w:rFonts w:ascii="Sylfaen" w:hAnsi="Sylfaen"/>
          <w:sz w:val="24"/>
          <w:szCs w:val="24"/>
        </w:rPr>
        <w:t> </w:t>
      </w:r>
      <w:r w:rsidR="00F23E60" w:rsidRPr="007733CA">
        <w:rPr>
          <w:rFonts w:ascii="Sylfaen" w:hAnsi="Sylfaen"/>
          <w:sz w:val="24"/>
          <w:szCs w:val="24"/>
        </w:rPr>
        <w:t>է</w:t>
      </w:r>
      <w:r w:rsidRPr="007733CA">
        <w:rPr>
          <w:rFonts w:ascii="Sylfaen" w:hAnsi="Sylfaen"/>
          <w:sz w:val="24"/>
          <w:szCs w:val="24"/>
        </w:rPr>
        <w:t xml:space="preserve"> (ցուցանիշը, նպատակ</w:t>
      </w:r>
      <w:r w:rsidR="00FF050F" w:rsidRPr="007733CA">
        <w:rPr>
          <w:rFonts w:ascii="Sylfaen" w:hAnsi="Sylfaen"/>
          <w:sz w:val="24"/>
          <w:szCs w:val="24"/>
        </w:rPr>
        <w:t>ը</w:t>
      </w:r>
      <w:r w:rsidRPr="007733CA">
        <w:rPr>
          <w:rFonts w:ascii="Sylfaen" w:hAnsi="Sylfaen"/>
          <w:sz w:val="24"/>
          <w:szCs w:val="24"/>
        </w:rPr>
        <w:t>)</w:t>
      </w:r>
      <w:r w:rsidR="003A2FE7" w:rsidRPr="007733CA">
        <w:rPr>
          <w:rFonts w:ascii="Sylfaen" w:hAnsi="Sylfaen"/>
          <w:sz w:val="24"/>
          <w:szCs w:val="24"/>
        </w:rPr>
        <w:t xml:space="preserve"> </w:t>
      </w:r>
      <w:r w:rsidRPr="007733CA">
        <w:rPr>
          <w:rFonts w:ascii="Sylfaen" w:hAnsi="Sylfaen"/>
          <w:sz w:val="24"/>
          <w:szCs w:val="24"/>
        </w:rPr>
        <w:t>հանգեցրել պետական կարգավորման միջոցների արդյունավետության գնահատման փոփոխության, ինչն իր հերթին հնարավոր է դարձնում պետական կարգավորման միջոցների արդյունավետության բարձրացման վերաբերյալ առաջարկությունների մշակումը։</w:t>
      </w:r>
    </w:p>
    <w:sectPr w:rsidR="00A17F3E" w:rsidRPr="00AA65B4" w:rsidSect="0039257D">
      <w:pgSz w:w="11907" w:h="16840" w:code="9"/>
      <w:pgMar w:top="1418" w:right="1418" w:bottom="1418" w:left="1418" w:header="0" w:footer="3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7F" w:rsidRDefault="002A017F" w:rsidP="00A17F3E">
      <w:r>
        <w:separator/>
      </w:r>
    </w:p>
  </w:endnote>
  <w:endnote w:type="continuationSeparator" w:id="0">
    <w:p w:rsidR="002A017F" w:rsidRDefault="002A017F" w:rsidP="00A1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6421"/>
      <w:docPartObj>
        <w:docPartGallery w:val="Page Numbers (Bottom of Page)"/>
        <w:docPartUnique/>
      </w:docPartObj>
    </w:sdtPr>
    <w:sdtEndPr/>
    <w:sdtContent>
      <w:p w:rsidR="007640EA" w:rsidRDefault="002A01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AA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7F" w:rsidRDefault="002A017F"/>
  </w:footnote>
  <w:footnote w:type="continuationSeparator" w:id="0">
    <w:p w:rsidR="002A017F" w:rsidRDefault="002A01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321" w:rsidRDefault="005233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321" w:rsidRDefault="005233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EDF"/>
    <w:multiLevelType w:val="multilevel"/>
    <w:tmpl w:val="454E4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2C7698"/>
    <w:multiLevelType w:val="multilevel"/>
    <w:tmpl w:val="75E44AB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2139B8"/>
    <w:multiLevelType w:val="multilevel"/>
    <w:tmpl w:val="2EBE7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CA655C"/>
    <w:multiLevelType w:val="multilevel"/>
    <w:tmpl w:val="6938F7A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2340E3"/>
    <w:multiLevelType w:val="multilevel"/>
    <w:tmpl w:val="22CAE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8D30C9"/>
    <w:multiLevelType w:val="multilevel"/>
    <w:tmpl w:val="9A3A5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17F3E"/>
    <w:rsid w:val="000114CA"/>
    <w:rsid w:val="0001490F"/>
    <w:rsid w:val="00015DF5"/>
    <w:rsid w:val="00016CA0"/>
    <w:rsid w:val="00030719"/>
    <w:rsid w:val="000353C7"/>
    <w:rsid w:val="00062A09"/>
    <w:rsid w:val="00067DFB"/>
    <w:rsid w:val="0007299F"/>
    <w:rsid w:val="00081FDB"/>
    <w:rsid w:val="000B4744"/>
    <w:rsid w:val="000D7E2E"/>
    <w:rsid w:val="000F01DE"/>
    <w:rsid w:val="000F215F"/>
    <w:rsid w:val="00114195"/>
    <w:rsid w:val="0012616B"/>
    <w:rsid w:val="00135E6A"/>
    <w:rsid w:val="00153278"/>
    <w:rsid w:val="001A4968"/>
    <w:rsid w:val="001D1E1C"/>
    <w:rsid w:val="001D5E7E"/>
    <w:rsid w:val="001F0DE8"/>
    <w:rsid w:val="001F62C7"/>
    <w:rsid w:val="0020672B"/>
    <w:rsid w:val="00210C55"/>
    <w:rsid w:val="00215446"/>
    <w:rsid w:val="00223598"/>
    <w:rsid w:val="00224F0E"/>
    <w:rsid w:val="00236F29"/>
    <w:rsid w:val="00241EC4"/>
    <w:rsid w:val="00254EAB"/>
    <w:rsid w:val="002671A1"/>
    <w:rsid w:val="0027051A"/>
    <w:rsid w:val="0028094C"/>
    <w:rsid w:val="00282C74"/>
    <w:rsid w:val="002A017F"/>
    <w:rsid w:val="002A5766"/>
    <w:rsid w:val="002B695D"/>
    <w:rsid w:val="002E0931"/>
    <w:rsid w:val="002E3FFD"/>
    <w:rsid w:val="002E6139"/>
    <w:rsid w:val="00301251"/>
    <w:rsid w:val="003145E7"/>
    <w:rsid w:val="00322F9E"/>
    <w:rsid w:val="003260AA"/>
    <w:rsid w:val="00350CE9"/>
    <w:rsid w:val="003719EF"/>
    <w:rsid w:val="00373E90"/>
    <w:rsid w:val="00391DC2"/>
    <w:rsid w:val="0039257D"/>
    <w:rsid w:val="003A2FE7"/>
    <w:rsid w:val="003C4D9F"/>
    <w:rsid w:val="003F6662"/>
    <w:rsid w:val="00405780"/>
    <w:rsid w:val="00405E1A"/>
    <w:rsid w:val="0040758F"/>
    <w:rsid w:val="00435672"/>
    <w:rsid w:val="00452C65"/>
    <w:rsid w:val="00477040"/>
    <w:rsid w:val="004824E4"/>
    <w:rsid w:val="004845A4"/>
    <w:rsid w:val="00487349"/>
    <w:rsid w:val="004A424C"/>
    <w:rsid w:val="004B1749"/>
    <w:rsid w:val="004D55C6"/>
    <w:rsid w:val="004F01A6"/>
    <w:rsid w:val="00500BBF"/>
    <w:rsid w:val="00506081"/>
    <w:rsid w:val="005218A6"/>
    <w:rsid w:val="00523321"/>
    <w:rsid w:val="005568DD"/>
    <w:rsid w:val="00566500"/>
    <w:rsid w:val="00570574"/>
    <w:rsid w:val="005834DB"/>
    <w:rsid w:val="00591532"/>
    <w:rsid w:val="005C74DB"/>
    <w:rsid w:val="005D5FCF"/>
    <w:rsid w:val="005E2020"/>
    <w:rsid w:val="00634E8B"/>
    <w:rsid w:val="006418B4"/>
    <w:rsid w:val="00651993"/>
    <w:rsid w:val="00665DDE"/>
    <w:rsid w:val="00683565"/>
    <w:rsid w:val="00684277"/>
    <w:rsid w:val="0068554D"/>
    <w:rsid w:val="00692794"/>
    <w:rsid w:val="006B48E7"/>
    <w:rsid w:val="006C0A79"/>
    <w:rsid w:val="00704712"/>
    <w:rsid w:val="00705DB2"/>
    <w:rsid w:val="0072009B"/>
    <w:rsid w:val="0072536A"/>
    <w:rsid w:val="007640EA"/>
    <w:rsid w:val="0077056E"/>
    <w:rsid w:val="007733CA"/>
    <w:rsid w:val="00791C59"/>
    <w:rsid w:val="00793363"/>
    <w:rsid w:val="007A10A0"/>
    <w:rsid w:val="007D2875"/>
    <w:rsid w:val="007D6C8B"/>
    <w:rsid w:val="007E659E"/>
    <w:rsid w:val="00804432"/>
    <w:rsid w:val="00811CE0"/>
    <w:rsid w:val="00832F38"/>
    <w:rsid w:val="008449C9"/>
    <w:rsid w:val="008468B8"/>
    <w:rsid w:val="00853FEE"/>
    <w:rsid w:val="00866B31"/>
    <w:rsid w:val="008862E6"/>
    <w:rsid w:val="00896E7D"/>
    <w:rsid w:val="008A3DC8"/>
    <w:rsid w:val="008B65BA"/>
    <w:rsid w:val="008C1AAC"/>
    <w:rsid w:val="008C2118"/>
    <w:rsid w:val="008C340D"/>
    <w:rsid w:val="008D6FBF"/>
    <w:rsid w:val="008F7319"/>
    <w:rsid w:val="00915B4C"/>
    <w:rsid w:val="00936F4D"/>
    <w:rsid w:val="00942DFD"/>
    <w:rsid w:val="00996123"/>
    <w:rsid w:val="009C0C50"/>
    <w:rsid w:val="00A055B0"/>
    <w:rsid w:val="00A07325"/>
    <w:rsid w:val="00A17F3E"/>
    <w:rsid w:val="00A358E7"/>
    <w:rsid w:val="00A47D6F"/>
    <w:rsid w:val="00A54C77"/>
    <w:rsid w:val="00A5571F"/>
    <w:rsid w:val="00A61E08"/>
    <w:rsid w:val="00A64213"/>
    <w:rsid w:val="00A727D0"/>
    <w:rsid w:val="00A75E2C"/>
    <w:rsid w:val="00AA65B4"/>
    <w:rsid w:val="00AC7BA5"/>
    <w:rsid w:val="00AD0310"/>
    <w:rsid w:val="00AE1AAB"/>
    <w:rsid w:val="00B10C09"/>
    <w:rsid w:val="00B139B8"/>
    <w:rsid w:val="00B14D18"/>
    <w:rsid w:val="00B26D93"/>
    <w:rsid w:val="00B34EC1"/>
    <w:rsid w:val="00B42520"/>
    <w:rsid w:val="00B453B5"/>
    <w:rsid w:val="00B50476"/>
    <w:rsid w:val="00B8597A"/>
    <w:rsid w:val="00BA4BAF"/>
    <w:rsid w:val="00BB2085"/>
    <w:rsid w:val="00BE1957"/>
    <w:rsid w:val="00BE6160"/>
    <w:rsid w:val="00BF6425"/>
    <w:rsid w:val="00C23EEB"/>
    <w:rsid w:val="00C4560E"/>
    <w:rsid w:val="00C47325"/>
    <w:rsid w:val="00C558AF"/>
    <w:rsid w:val="00C922BF"/>
    <w:rsid w:val="00CA2D27"/>
    <w:rsid w:val="00CB39DF"/>
    <w:rsid w:val="00CE3140"/>
    <w:rsid w:val="00CE4179"/>
    <w:rsid w:val="00D041D5"/>
    <w:rsid w:val="00D25520"/>
    <w:rsid w:val="00D3741F"/>
    <w:rsid w:val="00D45A31"/>
    <w:rsid w:val="00D462CE"/>
    <w:rsid w:val="00D539FA"/>
    <w:rsid w:val="00D57765"/>
    <w:rsid w:val="00D82562"/>
    <w:rsid w:val="00D96BB0"/>
    <w:rsid w:val="00DA5E2C"/>
    <w:rsid w:val="00DB5936"/>
    <w:rsid w:val="00DD4FDA"/>
    <w:rsid w:val="00DE3A8A"/>
    <w:rsid w:val="00E0463D"/>
    <w:rsid w:val="00E06380"/>
    <w:rsid w:val="00E12ECF"/>
    <w:rsid w:val="00E2176B"/>
    <w:rsid w:val="00E34720"/>
    <w:rsid w:val="00E47CB4"/>
    <w:rsid w:val="00E51C63"/>
    <w:rsid w:val="00E56F3A"/>
    <w:rsid w:val="00E63918"/>
    <w:rsid w:val="00E80373"/>
    <w:rsid w:val="00E91D8C"/>
    <w:rsid w:val="00EB5E96"/>
    <w:rsid w:val="00EC3C25"/>
    <w:rsid w:val="00EC4487"/>
    <w:rsid w:val="00ED156E"/>
    <w:rsid w:val="00ED7752"/>
    <w:rsid w:val="00EE07ED"/>
    <w:rsid w:val="00F012CF"/>
    <w:rsid w:val="00F0569F"/>
    <w:rsid w:val="00F06FFA"/>
    <w:rsid w:val="00F141E8"/>
    <w:rsid w:val="00F23E60"/>
    <w:rsid w:val="00F3764D"/>
    <w:rsid w:val="00F537D3"/>
    <w:rsid w:val="00F92E60"/>
    <w:rsid w:val="00FA43A0"/>
    <w:rsid w:val="00FC67CB"/>
    <w:rsid w:val="00FD68B8"/>
    <w:rsid w:val="00FE05ED"/>
    <w:rsid w:val="00FE1B82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7F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7F3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DefaultParagraphFont"/>
    <w:link w:val="Heading40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">
    <w:name w:val="Body text (2) + Sylfaen"/>
    <w:aliases w:val="13 pt"/>
    <w:basedOn w:val="Bodytext2"/>
    <w:rsid w:val="00A17F3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9Spacing0pt">
    <w:name w:val="Body text (9) + Spacing 0 pt"/>
    <w:basedOn w:val="DefaultParagraphFont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95pt">
    <w:name w:val="Body text (2) + 9.5 pt"/>
    <w:basedOn w:val="Bodytext2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Tablecaption3">
    <w:name w:val="Table caption (3)"/>
    <w:basedOn w:val="DefaultParagraphFont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"/>
    <w:basedOn w:val="DefaultParagraphFont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0">
    <w:name w:val="Body text (2) + Sylfaen"/>
    <w:aliases w:val="8 pt"/>
    <w:basedOn w:val="Bodytext2"/>
    <w:rsid w:val="00A17F3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12">
    <w:name w:val="Heading #1 (2)_"/>
    <w:basedOn w:val="DefaultParagraphFont"/>
    <w:link w:val="Heading120"/>
    <w:rsid w:val="00A17F3E"/>
    <w:rPr>
      <w:b w:val="0"/>
      <w:bCs w:val="0"/>
      <w:i w:val="0"/>
      <w:iCs w:val="0"/>
      <w:smallCaps w:val="0"/>
      <w:strike w:val="0"/>
      <w:sz w:val="34"/>
      <w:szCs w:val="34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A17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58"/>
      <w:szCs w:val="58"/>
      <w:u w:val="none"/>
      <w:lang w:val="hy-AM" w:eastAsia="hy-AM" w:bidi="hy-AM"/>
    </w:rPr>
  </w:style>
  <w:style w:type="character" w:customStyle="1" w:styleId="Heading5">
    <w:name w:val="Heading #5_"/>
    <w:basedOn w:val="DefaultParagraphFont"/>
    <w:link w:val="Heading50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  <w:lang w:val="hy-AM" w:eastAsia="hy-AM" w:bidi="hy-AM"/>
    </w:rPr>
  </w:style>
  <w:style w:type="character" w:customStyle="1" w:styleId="Heading51">
    <w:name w:val="Heading #5"/>
    <w:basedOn w:val="Heading5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52">
    <w:name w:val="Heading #5"/>
    <w:basedOn w:val="Heading5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2">
    <w:name w:val="Body text (12)_"/>
    <w:basedOn w:val="DefaultParagraphFont"/>
    <w:link w:val="Bodytext120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2Spacing-1pt">
    <w:name w:val="Body text (2) + Spacing -1 pt"/>
    <w:basedOn w:val="Bodytext2"/>
    <w:rsid w:val="00A17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13">
    <w:name w:val="Body text (13)_"/>
    <w:basedOn w:val="DefaultParagraphFont"/>
    <w:link w:val="Bodytext130"/>
    <w:rsid w:val="00A17F3E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 (3)"/>
    <w:basedOn w:val="Normal"/>
    <w:link w:val="Bodytext3"/>
    <w:rsid w:val="00A17F3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0">
    <w:name w:val="Heading #4"/>
    <w:basedOn w:val="Normal"/>
    <w:link w:val="Heading4"/>
    <w:rsid w:val="00A17F3E"/>
    <w:pPr>
      <w:shd w:val="clear" w:color="auto" w:fill="FFFFFF"/>
      <w:spacing w:before="120" w:after="6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17F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17F3E"/>
    <w:pPr>
      <w:shd w:val="clear" w:color="auto" w:fill="FFFFFF"/>
      <w:spacing w:before="420" w:after="66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17F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Bodytext60">
    <w:name w:val="Body text (6)"/>
    <w:basedOn w:val="Normal"/>
    <w:link w:val="Bodytext6"/>
    <w:rsid w:val="00A17F3E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Heading120">
    <w:name w:val="Heading #1 (2)"/>
    <w:basedOn w:val="Normal"/>
    <w:link w:val="Heading12"/>
    <w:rsid w:val="00A17F3E"/>
    <w:pPr>
      <w:shd w:val="clear" w:color="auto" w:fill="FFFFFF"/>
      <w:spacing w:after="360" w:line="0" w:lineRule="atLeast"/>
      <w:outlineLvl w:val="0"/>
    </w:pPr>
    <w:rPr>
      <w:sz w:val="34"/>
      <w:szCs w:val="34"/>
    </w:rPr>
  </w:style>
  <w:style w:type="paragraph" w:customStyle="1" w:styleId="Bodytext110">
    <w:name w:val="Body text (11)"/>
    <w:basedOn w:val="Normal"/>
    <w:link w:val="Bodytext11"/>
    <w:rsid w:val="00A17F3E"/>
    <w:pPr>
      <w:shd w:val="clear" w:color="auto" w:fill="FFFFFF"/>
      <w:spacing w:before="240" w:line="57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A17F3E"/>
    <w:pPr>
      <w:shd w:val="clear" w:color="auto" w:fill="FFFFFF"/>
      <w:spacing w:before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20"/>
      <w:sz w:val="58"/>
      <w:szCs w:val="58"/>
    </w:rPr>
  </w:style>
  <w:style w:type="paragraph" w:customStyle="1" w:styleId="Heading50">
    <w:name w:val="Heading #5"/>
    <w:basedOn w:val="Normal"/>
    <w:link w:val="Heading5"/>
    <w:rsid w:val="00A17F3E"/>
    <w:pPr>
      <w:shd w:val="clear" w:color="auto" w:fill="FFFFFF"/>
      <w:spacing w:line="0" w:lineRule="atLeast"/>
      <w:jc w:val="both"/>
      <w:outlineLvl w:val="4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20">
    <w:name w:val="Body text (12)"/>
    <w:basedOn w:val="Normal"/>
    <w:link w:val="Bodytext12"/>
    <w:rsid w:val="00A17F3E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0">
    <w:name w:val="Heading #3"/>
    <w:basedOn w:val="Normal"/>
    <w:link w:val="Heading3"/>
    <w:rsid w:val="00A17F3E"/>
    <w:pPr>
      <w:shd w:val="clear" w:color="auto" w:fill="FFFFFF"/>
      <w:spacing w:before="120" w:after="420" w:line="0" w:lineRule="atLeast"/>
      <w:jc w:val="center"/>
      <w:outlineLvl w:val="2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Bodytext130">
    <w:name w:val="Body text (13)"/>
    <w:basedOn w:val="Normal"/>
    <w:link w:val="Bodytext13"/>
    <w:rsid w:val="00A17F3E"/>
    <w:pPr>
      <w:shd w:val="clear" w:color="auto" w:fill="FFFFFF"/>
      <w:spacing w:after="300" w:line="0" w:lineRule="atLeast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43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6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B3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66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B31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D462C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2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F9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F9E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1B507-711C-4C3E-A2F1-3B8FB862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19</Pages>
  <Words>3491</Words>
  <Characters>19903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44</cp:revision>
  <dcterms:created xsi:type="dcterms:W3CDTF">2018-01-15T11:44:00Z</dcterms:created>
  <dcterms:modified xsi:type="dcterms:W3CDTF">2018-10-01T12:39:00Z</dcterms:modified>
</cp:coreProperties>
</file>