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481" w:rsidRPr="00DE3AC6" w:rsidRDefault="00F53DEE" w:rsidP="00295C92">
      <w:pPr>
        <w:pStyle w:val="Bodytext20"/>
        <w:shd w:val="clear" w:color="auto" w:fill="auto"/>
        <w:spacing w:before="0" w:after="160" w:line="360" w:lineRule="auto"/>
        <w:ind w:left="5670" w:right="-8"/>
        <w:jc w:val="center"/>
        <w:rPr>
          <w:rFonts w:ascii="Sylfaen" w:hAnsi="Sylfaen"/>
          <w:sz w:val="24"/>
          <w:szCs w:val="24"/>
        </w:rPr>
      </w:pPr>
      <w:bookmarkStart w:id="0" w:name="_GoBack"/>
      <w:bookmarkEnd w:id="0"/>
      <w:r w:rsidRPr="00DE3AC6">
        <w:rPr>
          <w:rFonts w:ascii="Sylfaen" w:hAnsi="Sylfaen"/>
          <w:sz w:val="24"/>
          <w:szCs w:val="24"/>
        </w:rPr>
        <w:t>ՀԱՎԵԼՎԱԾ</w:t>
      </w:r>
    </w:p>
    <w:p w:rsidR="00743425" w:rsidRPr="00DE3AC6" w:rsidRDefault="00F53DEE" w:rsidP="00295C92">
      <w:pPr>
        <w:pStyle w:val="Bodytext20"/>
        <w:shd w:val="clear" w:color="auto" w:fill="auto"/>
        <w:spacing w:before="0" w:after="160" w:line="360" w:lineRule="auto"/>
        <w:ind w:left="5670" w:right="-8"/>
        <w:jc w:val="center"/>
        <w:rPr>
          <w:rFonts w:ascii="Sylfaen" w:hAnsi="Sylfaen"/>
          <w:sz w:val="24"/>
          <w:szCs w:val="24"/>
        </w:rPr>
      </w:pPr>
      <w:r w:rsidRPr="00DE3AC6">
        <w:rPr>
          <w:rFonts w:ascii="Sylfaen" w:hAnsi="Sylfaen"/>
          <w:sz w:val="24"/>
          <w:szCs w:val="24"/>
        </w:rPr>
        <w:t>Եվրասիական տնտեսական հանձնաժողովի կոլեգիայի</w:t>
      </w:r>
      <w:r w:rsidR="00295C92" w:rsidRPr="00DE3AC6">
        <w:rPr>
          <w:rFonts w:ascii="Sylfaen" w:hAnsi="Sylfaen"/>
          <w:sz w:val="24"/>
          <w:szCs w:val="24"/>
        </w:rPr>
        <w:t xml:space="preserve"> </w:t>
      </w:r>
      <w:r w:rsidRPr="00DE3AC6">
        <w:rPr>
          <w:rFonts w:ascii="Sylfaen" w:hAnsi="Sylfaen"/>
          <w:spacing w:val="-6"/>
          <w:sz w:val="24"/>
          <w:szCs w:val="24"/>
        </w:rPr>
        <w:t>2017 թվականի սեպտեմբերի 4-ի թի</w:t>
      </w:r>
      <w:r w:rsidRPr="00DE3AC6">
        <w:rPr>
          <w:rFonts w:ascii="Sylfaen" w:hAnsi="Sylfaen"/>
          <w:sz w:val="24"/>
          <w:szCs w:val="24"/>
        </w:rPr>
        <w:t>վ 16 հանձնարարականի</w:t>
      </w:r>
    </w:p>
    <w:p w:rsidR="00464481" w:rsidRPr="00DE3AC6" w:rsidRDefault="00464481" w:rsidP="00295C92">
      <w:pPr>
        <w:pStyle w:val="Heading20"/>
        <w:shd w:val="clear" w:color="auto" w:fill="auto"/>
        <w:spacing w:before="0" w:after="160" w:line="360" w:lineRule="auto"/>
        <w:ind w:left="20" w:right="-8"/>
        <w:jc w:val="center"/>
        <w:outlineLvl w:val="9"/>
        <w:rPr>
          <w:rStyle w:val="Heading2Spacing2pt"/>
          <w:rFonts w:ascii="Sylfaen" w:hAnsi="Sylfaen"/>
          <w:b/>
          <w:bCs/>
          <w:spacing w:val="0"/>
          <w:sz w:val="24"/>
          <w:szCs w:val="24"/>
        </w:rPr>
      </w:pPr>
      <w:bookmarkStart w:id="1" w:name="bookmark2"/>
    </w:p>
    <w:p w:rsidR="00743425" w:rsidRPr="00DE3AC6" w:rsidRDefault="00F53DEE" w:rsidP="00295C92">
      <w:pPr>
        <w:pStyle w:val="Heading20"/>
        <w:shd w:val="clear" w:color="auto" w:fill="auto"/>
        <w:spacing w:before="0" w:after="160" w:line="360" w:lineRule="auto"/>
        <w:ind w:left="567" w:right="566"/>
        <w:jc w:val="center"/>
        <w:outlineLvl w:val="9"/>
        <w:rPr>
          <w:rFonts w:ascii="Sylfaen" w:hAnsi="Sylfaen"/>
          <w:sz w:val="24"/>
          <w:szCs w:val="24"/>
        </w:rPr>
      </w:pPr>
      <w:r w:rsidRPr="00DE3AC6">
        <w:rPr>
          <w:rStyle w:val="Heading2Spacing2pt"/>
          <w:rFonts w:ascii="Sylfaen" w:hAnsi="Sylfaen"/>
          <w:b/>
          <w:spacing w:val="0"/>
          <w:sz w:val="24"/>
          <w:szCs w:val="24"/>
        </w:rPr>
        <w:t>ԿԱՐԳ</w:t>
      </w:r>
      <w:bookmarkEnd w:id="1"/>
    </w:p>
    <w:p w:rsidR="00743425" w:rsidRPr="00DE3AC6" w:rsidRDefault="00F53DEE" w:rsidP="00295C92">
      <w:pPr>
        <w:pStyle w:val="Bodytext30"/>
        <w:shd w:val="clear" w:color="auto" w:fill="auto"/>
        <w:spacing w:after="160" w:line="360" w:lineRule="auto"/>
        <w:ind w:right="-1"/>
        <w:rPr>
          <w:rFonts w:ascii="Sylfaen" w:hAnsi="Sylfaen"/>
          <w:sz w:val="24"/>
          <w:szCs w:val="24"/>
        </w:rPr>
      </w:pPr>
      <w:r w:rsidRPr="00DE3AC6">
        <w:rPr>
          <w:rFonts w:ascii="Sylfaen" w:hAnsi="Sylfaen"/>
          <w:sz w:val="24"/>
          <w:szCs w:val="24"/>
        </w:rPr>
        <w:t xml:space="preserve">այն ստանդարտների ցանկի ձեավորման, որոնց կիրառման արդյունքում կամավոր հիմունքով ամբողջությամբ կամ մասնակիորեն ապահովվում է Բժշկական արտադրատեսակների անվտանգության </w:t>
      </w:r>
      <w:r w:rsidR="00295C92" w:rsidRPr="00DE3AC6">
        <w:rPr>
          <w:rFonts w:ascii="Sylfaen" w:hAnsi="Sylfaen"/>
          <w:sz w:val="24"/>
          <w:szCs w:val="24"/>
        </w:rPr>
        <w:t>եւ</w:t>
      </w:r>
      <w:r w:rsidRPr="00DE3AC6">
        <w:rPr>
          <w:rFonts w:ascii="Sylfaen" w:hAnsi="Sylfaen"/>
          <w:sz w:val="24"/>
          <w:szCs w:val="24"/>
        </w:rPr>
        <w:t xml:space="preserve"> արդյունավետության ընդհանուր պահանջներին, դրանց մակնշման</w:t>
      </w:r>
      <w:r w:rsidR="00B67353" w:rsidRPr="00DE3AC6">
        <w:rPr>
          <w:rFonts w:ascii="Sylfaen" w:hAnsi="Sylfaen"/>
          <w:sz w:val="24"/>
          <w:szCs w:val="24"/>
        </w:rPr>
        <w:t>ն ու</w:t>
      </w:r>
      <w:r w:rsidRPr="00DE3AC6">
        <w:rPr>
          <w:rFonts w:ascii="Sylfaen" w:hAnsi="Sylfaen"/>
          <w:sz w:val="24"/>
          <w:szCs w:val="24"/>
        </w:rPr>
        <w:t xml:space="preserve"> շահագործման փաստաթղթերին ներկայացվող պահանջներին բժշկական արտադրատեսակների համապատասխանության պահպանումը</w:t>
      </w:r>
      <w:bookmarkStart w:id="2" w:name="bookmark3"/>
      <w:bookmarkEnd w:id="2"/>
    </w:p>
    <w:p w:rsidR="00464481" w:rsidRPr="00DE3AC6" w:rsidRDefault="00464481" w:rsidP="00295C92">
      <w:pPr>
        <w:pStyle w:val="Bodytext20"/>
        <w:shd w:val="clear" w:color="auto" w:fill="auto"/>
        <w:spacing w:before="0" w:after="160" w:line="360" w:lineRule="auto"/>
        <w:ind w:left="20" w:right="-8"/>
        <w:rPr>
          <w:rFonts w:ascii="Sylfaen" w:hAnsi="Sylfaen"/>
          <w:sz w:val="24"/>
          <w:szCs w:val="24"/>
        </w:rPr>
      </w:pPr>
    </w:p>
    <w:p w:rsidR="00743425" w:rsidRPr="00DE3AC6" w:rsidRDefault="00295C92" w:rsidP="00295C92">
      <w:pPr>
        <w:pStyle w:val="Bodytext20"/>
        <w:shd w:val="clear" w:color="auto" w:fill="auto"/>
        <w:tabs>
          <w:tab w:val="left" w:pos="1134"/>
        </w:tabs>
        <w:spacing w:before="0" w:after="160" w:line="360" w:lineRule="auto"/>
        <w:ind w:left="20" w:right="-8" w:firstLine="547"/>
        <w:rPr>
          <w:rFonts w:ascii="Sylfaen" w:hAnsi="Sylfaen"/>
          <w:spacing w:val="-6"/>
          <w:sz w:val="24"/>
          <w:szCs w:val="24"/>
        </w:rPr>
      </w:pPr>
      <w:r w:rsidRPr="00DE3AC6">
        <w:rPr>
          <w:rFonts w:ascii="Sylfaen" w:hAnsi="Sylfaen"/>
          <w:sz w:val="24"/>
          <w:szCs w:val="24"/>
        </w:rPr>
        <w:t>1.</w:t>
      </w:r>
      <w:r w:rsidRPr="00DE3AC6">
        <w:rPr>
          <w:rFonts w:ascii="Sylfaen" w:hAnsi="Sylfaen"/>
          <w:sz w:val="24"/>
          <w:szCs w:val="24"/>
        </w:rPr>
        <w:tab/>
      </w:r>
      <w:r w:rsidR="00F53DEE" w:rsidRPr="00DE3AC6">
        <w:rPr>
          <w:rFonts w:ascii="Sylfaen" w:hAnsi="Sylfaen"/>
          <w:sz w:val="24"/>
          <w:szCs w:val="24"/>
        </w:rPr>
        <w:t xml:space="preserve">Սույն կարգը մշակվել է «Եվրասիական տնտեսական միության շրջանակներում բժշկական արտադրատեսակների (բժշկական նշանակության արտադրատեսակների </w:t>
      </w:r>
      <w:r w:rsidRPr="00DE3AC6">
        <w:rPr>
          <w:rFonts w:ascii="Sylfaen" w:hAnsi="Sylfaen"/>
          <w:sz w:val="24"/>
          <w:szCs w:val="24"/>
        </w:rPr>
        <w:t>եւ</w:t>
      </w:r>
      <w:r w:rsidR="00F53DEE" w:rsidRPr="00DE3AC6">
        <w:rPr>
          <w:rFonts w:ascii="Sylfaen" w:hAnsi="Sylfaen"/>
          <w:sz w:val="24"/>
          <w:szCs w:val="24"/>
        </w:rPr>
        <w:t xml:space="preserve"> բժշկական տեխնիկայի) շրջանառության միասնական սկզբունքների </w:t>
      </w:r>
      <w:r w:rsidRPr="00DE3AC6">
        <w:rPr>
          <w:rFonts w:ascii="Sylfaen" w:hAnsi="Sylfaen"/>
          <w:sz w:val="24"/>
          <w:szCs w:val="24"/>
        </w:rPr>
        <w:t>եւ</w:t>
      </w:r>
      <w:r w:rsidR="00F53DEE" w:rsidRPr="00DE3AC6">
        <w:rPr>
          <w:rFonts w:ascii="Sylfaen" w:hAnsi="Sylfaen"/>
          <w:sz w:val="24"/>
          <w:szCs w:val="24"/>
        </w:rPr>
        <w:t xml:space="preserve"> կանոնների մասին» 2014 թվականի դեկտեմբերի 23-ի համաձայնագրի 3-րդ հոդվածի 2-րդ կետի, 4-րդ հոդվածի 4-րդ կետի </w:t>
      </w:r>
      <w:r w:rsidRPr="00DE3AC6">
        <w:rPr>
          <w:rFonts w:ascii="Sylfaen" w:hAnsi="Sylfaen"/>
          <w:sz w:val="24"/>
          <w:szCs w:val="24"/>
        </w:rPr>
        <w:t>եւ</w:t>
      </w:r>
      <w:r w:rsidR="00F53DEE" w:rsidRPr="00DE3AC6">
        <w:rPr>
          <w:rFonts w:ascii="Sylfaen" w:hAnsi="Sylfaen"/>
          <w:sz w:val="24"/>
          <w:szCs w:val="24"/>
        </w:rPr>
        <w:t xml:space="preserve"> 7-րդ հոդվածի 4-րդ կետի հիման վրա </w:t>
      </w:r>
      <w:r w:rsidRPr="00DE3AC6">
        <w:rPr>
          <w:rFonts w:ascii="Sylfaen" w:hAnsi="Sylfaen"/>
          <w:sz w:val="24"/>
          <w:szCs w:val="24"/>
        </w:rPr>
        <w:t>եւ</w:t>
      </w:r>
      <w:r w:rsidR="00F53DEE" w:rsidRPr="00DE3AC6">
        <w:rPr>
          <w:rFonts w:ascii="Sylfaen" w:hAnsi="Sylfaen"/>
          <w:sz w:val="24"/>
          <w:szCs w:val="24"/>
        </w:rPr>
        <w:t xml:space="preserve"> Եվրասիական տնտեսական հանձնաժողովի խորհրդի 2016 թվականի փետրվարի 12-ի թիվ 27 որոշմամբ հաստատված՝ Բժշկական արտադրատեսակների անվտանգության </w:t>
      </w:r>
      <w:r w:rsidRPr="00DE3AC6">
        <w:rPr>
          <w:rFonts w:ascii="Sylfaen" w:hAnsi="Sylfaen"/>
          <w:sz w:val="24"/>
          <w:szCs w:val="24"/>
        </w:rPr>
        <w:t>եւ</w:t>
      </w:r>
      <w:r w:rsidR="00F53DEE" w:rsidRPr="00DE3AC6">
        <w:rPr>
          <w:rFonts w:ascii="Sylfaen" w:hAnsi="Sylfaen"/>
          <w:sz w:val="24"/>
          <w:szCs w:val="24"/>
        </w:rPr>
        <w:t xml:space="preserve"> արդյունավետության ընդհանուր պահանջների, դրանց մակնշմանը </w:t>
      </w:r>
      <w:r w:rsidRPr="00DE3AC6">
        <w:rPr>
          <w:rFonts w:ascii="Sylfaen" w:hAnsi="Sylfaen"/>
          <w:sz w:val="24"/>
          <w:szCs w:val="24"/>
        </w:rPr>
        <w:t>եւ</w:t>
      </w:r>
      <w:r w:rsidR="00F53DEE" w:rsidRPr="00DE3AC6">
        <w:rPr>
          <w:rFonts w:ascii="Sylfaen" w:hAnsi="Sylfaen"/>
          <w:sz w:val="24"/>
          <w:szCs w:val="24"/>
        </w:rPr>
        <w:t xml:space="preserve"> շահագործման փաստաթղթերին ներկայացվող պահանջների (այսուհետ՝ Ընդհանուր պահանջներ) 110-րդ կետին համապատասխան՝ այն ստանդարտների ցանկի ձեւավորումը եւ դրանում փոփոխություններ կատարելու կարգի սահմանումն ապահովելու նպատակով, որոնց կիրառման արդյունքում կամավոր հիմունքով ամբողջությամբ կամ </w:t>
      </w:r>
      <w:r w:rsidR="00F53DEE" w:rsidRPr="00DE3AC6">
        <w:rPr>
          <w:rFonts w:ascii="Sylfaen" w:hAnsi="Sylfaen"/>
          <w:spacing w:val="-6"/>
          <w:sz w:val="24"/>
          <w:szCs w:val="24"/>
        </w:rPr>
        <w:lastRenderedPageBreak/>
        <w:t>մասնակիորեն ապահովվում է Ընդհանուր պահանջներին բժշկական արտադրատեսակների համապատասխանության պահպանումը (այսուհետ՝ ցանկ)։</w:t>
      </w:r>
    </w:p>
    <w:p w:rsidR="00743425" w:rsidRPr="00DE3AC6" w:rsidRDefault="00295C92" w:rsidP="00295C92">
      <w:pPr>
        <w:pStyle w:val="Bodytext20"/>
        <w:shd w:val="clear" w:color="auto" w:fill="auto"/>
        <w:tabs>
          <w:tab w:val="left" w:pos="1134"/>
        </w:tabs>
        <w:spacing w:before="0" w:after="160" w:line="360" w:lineRule="auto"/>
        <w:ind w:left="20" w:right="-8" w:firstLine="547"/>
        <w:rPr>
          <w:rFonts w:ascii="Sylfaen" w:hAnsi="Sylfaen"/>
          <w:sz w:val="24"/>
          <w:szCs w:val="24"/>
        </w:rPr>
      </w:pPr>
      <w:r w:rsidRPr="00DE3AC6">
        <w:rPr>
          <w:rFonts w:ascii="Sylfaen" w:hAnsi="Sylfaen"/>
          <w:sz w:val="24"/>
          <w:szCs w:val="24"/>
        </w:rPr>
        <w:t>2.</w:t>
      </w:r>
      <w:r w:rsidRPr="00DE3AC6">
        <w:rPr>
          <w:rFonts w:ascii="Sylfaen" w:hAnsi="Sylfaen"/>
          <w:sz w:val="24"/>
          <w:szCs w:val="24"/>
        </w:rPr>
        <w:tab/>
      </w:r>
      <w:r w:rsidR="00F53DEE" w:rsidRPr="00DE3AC6">
        <w:rPr>
          <w:rFonts w:ascii="Sylfaen" w:hAnsi="Sylfaen"/>
          <w:sz w:val="24"/>
          <w:szCs w:val="24"/>
        </w:rPr>
        <w:t xml:space="preserve">Ընդհանուր պահանջներին բժշկական արտադրատեսակների համապատասխանությունն ապահովվում է նշված փաստաթղթով անմիջականորեն սահմանված պահանջների կամ ցանկում </w:t>
      </w:r>
      <w:r w:rsidR="006B5B40" w:rsidRPr="00DE3AC6">
        <w:rPr>
          <w:rFonts w:ascii="Sylfaen" w:hAnsi="Sylfaen"/>
          <w:sz w:val="24"/>
          <w:szCs w:val="24"/>
        </w:rPr>
        <w:t xml:space="preserve">ընդգրկված </w:t>
      </w:r>
      <w:r w:rsidR="00F53DEE" w:rsidRPr="00DE3AC6">
        <w:rPr>
          <w:rFonts w:ascii="Sylfaen" w:hAnsi="Sylfaen"/>
          <w:sz w:val="24"/>
          <w:szCs w:val="24"/>
        </w:rPr>
        <w:t>ստանդարտների պահանջների կատարմամբ։</w:t>
      </w:r>
    </w:p>
    <w:p w:rsidR="00743425" w:rsidRPr="00DE3AC6" w:rsidRDefault="00F53DEE" w:rsidP="00295C92">
      <w:pPr>
        <w:pStyle w:val="Bodytext20"/>
        <w:shd w:val="clear" w:color="auto" w:fill="auto"/>
        <w:tabs>
          <w:tab w:val="left" w:pos="1134"/>
        </w:tabs>
        <w:spacing w:before="0" w:after="160" w:line="360" w:lineRule="auto"/>
        <w:ind w:left="20" w:right="-8" w:firstLine="547"/>
        <w:rPr>
          <w:rFonts w:ascii="Sylfaen" w:hAnsi="Sylfaen"/>
          <w:sz w:val="24"/>
          <w:szCs w:val="24"/>
        </w:rPr>
      </w:pPr>
      <w:r w:rsidRPr="00DE3AC6">
        <w:rPr>
          <w:rFonts w:ascii="Sylfaen" w:hAnsi="Sylfaen"/>
          <w:sz w:val="24"/>
          <w:szCs w:val="24"/>
        </w:rPr>
        <w:t>3.</w:t>
      </w:r>
      <w:r w:rsidR="00295C92" w:rsidRPr="00DE3AC6">
        <w:rPr>
          <w:rFonts w:ascii="Sylfaen" w:hAnsi="Sylfaen"/>
          <w:sz w:val="24"/>
          <w:szCs w:val="24"/>
        </w:rPr>
        <w:tab/>
      </w:r>
      <w:r w:rsidRPr="00DE3AC6">
        <w:rPr>
          <w:rFonts w:ascii="Sylfaen" w:hAnsi="Sylfaen"/>
          <w:sz w:val="24"/>
          <w:szCs w:val="24"/>
        </w:rPr>
        <w:t>Ցանկը մշակվում է ըստ ձ</w:t>
      </w:r>
      <w:r w:rsidR="00295C92" w:rsidRPr="00DE3AC6">
        <w:rPr>
          <w:rFonts w:ascii="Sylfaen" w:hAnsi="Sylfaen"/>
          <w:sz w:val="24"/>
          <w:szCs w:val="24"/>
        </w:rPr>
        <w:t>եւ</w:t>
      </w:r>
      <w:r w:rsidRPr="00DE3AC6">
        <w:rPr>
          <w:rFonts w:ascii="Sylfaen" w:hAnsi="Sylfaen"/>
          <w:sz w:val="24"/>
          <w:szCs w:val="24"/>
        </w:rPr>
        <w:t>ի՝ թիվ 1 հավելվածի համաձայն։</w:t>
      </w:r>
    </w:p>
    <w:p w:rsidR="00743425" w:rsidRPr="00DE3AC6" w:rsidRDefault="00F53DEE" w:rsidP="00295C92">
      <w:pPr>
        <w:pStyle w:val="Bodytext20"/>
        <w:shd w:val="clear" w:color="auto" w:fill="auto"/>
        <w:tabs>
          <w:tab w:val="left" w:pos="1134"/>
        </w:tabs>
        <w:spacing w:before="0" w:after="160" w:line="360" w:lineRule="auto"/>
        <w:ind w:left="20" w:right="-8" w:firstLine="547"/>
        <w:rPr>
          <w:rFonts w:ascii="Sylfaen" w:hAnsi="Sylfaen"/>
          <w:sz w:val="24"/>
          <w:szCs w:val="24"/>
        </w:rPr>
      </w:pPr>
      <w:r w:rsidRPr="00DE3AC6">
        <w:rPr>
          <w:rFonts w:ascii="Sylfaen" w:hAnsi="Sylfaen"/>
          <w:sz w:val="24"/>
          <w:szCs w:val="24"/>
        </w:rPr>
        <w:t>4.</w:t>
      </w:r>
      <w:r w:rsidR="00295C92" w:rsidRPr="00DE3AC6">
        <w:rPr>
          <w:rFonts w:ascii="Sylfaen" w:hAnsi="Sylfaen"/>
          <w:sz w:val="24"/>
          <w:szCs w:val="24"/>
        </w:rPr>
        <w:tab/>
      </w:r>
      <w:r w:rsidRPr="00DE3AC6">
        <w:rPr>
          <w:rFonts w:ascii="Sylfaen" w:hAnsi="Sylfaen"/>
          <w:sz w:val="24"/>
          <w:szCs w:val="24"/>
        </w:rPr>
        <w:t>Ցանկ</w:t>
      </w:r>
      <w:r w:rsidR="004A34A6" w:rsidRPr="00DE3AC6">
        <w:rPr>
          <w:rFonts w:ascii="Sylfaen" w:hAnsi="Sylfaen"/>
          <w:sz w:val="24"/>
          <w:szCs w:val="24"/>
        </w:rPr>
        <w:t>ի</w:t>
      </w:r>
      <w:r w:rsidRPr="00DE3AC6">
        <w:rPr>
          <w:rFonts w:ascii="Sylfaen" w:hAnsi="Sylfaen"/>
          <w:sz w:val="24"/>
          <w:szCs w:val="24"/>
        </w:rPr>
        <w:t xml:space="preserve"> ձեւավորումն իրականացվում է դրանում ստանդարտներ ըն</w:t>
      </w:r>
      <w:r w:rsidR="008C44DC" w:rsidRPr="00DE3AC6">
        <w:rPr>
          <w:rFonts w:ascii="Sylfaen" w:hAnsi="Sylfaen"/>
          <w:sz w:val="24"/>
          <w:szCs w:val="24"/>
        </w:rPr>
        <w:t>դ</w:t>
      </w:r>
      <w:r w:rsidRPr="00DE3AC6">
        <w:rPr>
          <w:rFonts w:ascii="Sylfaen" w:hAnsi="Sylfaen"/>
          <w:sz w:val="24"/>
          <w:szCs w:val="24"/>
        </w:rPr>
        <w:t>գրկելու միջոցով՝ հաշվի առնելով հետեւյալ գերակայությունները՝</w:t>
      </w:r>
    </w:p>
    <w:p w:rsidR="00743425" w:rsidRPr="00DE3AC6" w:rsidRDefault="00F53DEE" w:rsidP="00295C92">
      <w:pPr>
        <w:pStyle w:val="Bodytext20"/>
        <w:shd w:val="clear" w:color="auto" w:fill="auto"/>
        <w:tabs>
          <w:tab w:val="left" w:pos="1701"/>
        </w:tabs>
        <w:spacing w:before="0" w:after="160" w:line="360" w:lineRule="auto"/>
        <w:ind w:left="567" w:right="-8" w:firstLine="547"/>
        <w:rPr>
          <w:rFonts w:ascii="Sylfaen" w:hAnsi="Sylfaen"/>
          <w:sz w:val="24"/>
          <w:szCs w:val="24"/>
        </w:rPr>
      </w:pPr>
      <w:r w:rsidRPr="00DE3AC6">
        <w:rPr>
          <w:rFonts w:ascii="Sylfaen" w:hAnsi="Sylfaen"/>
          <w:sz w:val="24"/>
          <w:szCs w:val="24"/>
        </w:rPr>
        <w:t>ա)</w:t>
      </w:r>
      <w:r w:rsidR="00295C92" w:rsidRPr="00DE3AC6">
        <w:rPr>
          <w:rFonts w:ascii="Sylfaen" w:hAnsi="Sylfaen"/>
          <w:sz w:val="24"/>
          <w:szCs w:val="24"/>
        </w:rPr>
        <w:tab/>
      </w:r>
      <w:r w:rsidRPr="00DE3AC6">
        <w:rPr>
          <w:rFonts w:ascii="Sylfaen" w:hAnsi="Sylfaen"/>
          <w:sz w:val="24"/>
          <w:szCs w:val="24"/>
        </w:rPr>
        <w:t xml:space="preserve">միջազգային </w:t>
      </w:r>
      <w:r w:rsidR="00295C92" w:rsidRPr="00DE3AC6">
        <w:rPr>
          <w:rFonts w:ascii="Sylfaen" w:hAnsi="Sylfaen"/>
          <w:sz w:val="24"/>
          <w:szCs w:val="24"/>
        </w:rPr>
        <w:t>եւ</w:t>
      </w:r>
      <w:r w:rsidRPr="00DE3AC6">
        <w:rPr>
          <w:rFonts w:ascii="Sylfaen" w:hAnsi="Sylfaen"/>
          <w:sz w:val="24"/>
          <w:szCs w:val="24"/>
        </w:rPr>
        <w:t xml:space="preserve"> (կամ) տարածաշրջանային ստանդարտների գործող տարբերակների հիման վրա մշակված միջպետական ստանդարտներ.</w:t>
      </w:r>
    </w:p>
    <w:p w:rsidR="00743425" w:rsidRPr="00DE3AC6" w:rsidRDefault="00F53DEE" w:rsidP="00295C92">
      <w:pPr>
        <w:pStyle w:val="Bodytext20"/>
        <w:shd w:val="clear" w:color="auto" w:fill="auto"/>
        <w:tabs>
          <w:tab w:val="left" w:pos="1701"/>
        </w:tabs>
        <w:spacing w:before="0" w:after="160" w:line="360" w:lineRule="auto"/>
        <w:ind w:left="567" w:right="-8" w:firstLine="547"/>
        <w:rPr>
          <w:rFonts w:ascii="Sylfaen" w:hAnsi="Sylfaen"/>
          <w:sz w:val="24"/>
          <w:szCs w:val="24"/>
        </w:rPr>
      </w:pPr>
      <w:r w:rsidRPr="00DE3AC6">
        <w:rPr>
          <w:rFonts w:ascii="Sylfaen" w:hAnsi="Sylfaen"/>
          <w:sz w:val="24"/>
          <w:szCs w:val="24"/>
        </w:rPr>
        <w:t>բ)</w:t>
      </w:r>
      <w:r w:rsidR="00295C92" w:rsidRPr="00DE3AC6">
        <w:rPr>
          <w:rFonts w:ascii="Sylfaen" w:hAnsi="Sylfaen"/>
          <w:sz w:val="24"/>
          <w:szCs w:val="24"/>
        </w:rPr>
        <w:tab/>
      </w:r>
      <w:r w:rsidRPr="00DE3AC6">
        <w:rPr>
          <w:rFonts w:ascii="Sylfaen" w:hAnsi="Sylfaen"/>
          <w:sz w:val="24"/>
          <w:szCs w:val="24"/>
        </w:rPr>
        <w:t xml:space="preserve">Եվրասիական տնտեսական միության անդամ պետությունների (այսուհետ՝ անդամ պետություններ) ազգային (պետական) ստանդարտներ, որոնք մշակվել են միջազգային </w:t>
      </w:r>
      <w:r w:rsidR="00295C92" w:rsidRPr="00DE3AC6">
        <w:rPr>
          <w:rFonts w:ascii="Sylfaen" w:hAnsi="Sylfaen"/>
          <w:sz w:val="24"/>
          <w:szCs w:val="24"/>
        </w:rPr>
        <w:t>եւ</w:t>
      </w:r>
      <w:r w:rsidRPr="00DE3AC6">
        <w:rPr>
          <w:rFonts w:ascii="Sylfaen" w:hAnsi="Sylfaen"/>
          <w:sz w:val="24"/>
          <w:szCs w:val="24"/>
        </w:rPr>
        <w:t xml:space="preserve"> (կամ) տարածաշրջանային ստանդարտների գործող տարբերակների հիման վրա։ Միջազգային </w:t>
      </w:r>
      <w:r w:rsidR="00295C92" w:rsidRPr="00DE3AC6">
        <w:rPr>
          <w:rFonts w:ascii="Sylfaen" w:hAnsi="Sylfaen"/>
          <w:sz w:val="24"/>
          <w:szCs w:val="24"/>
        </w:rPr>
        <w:t>եւ</w:t>
      </w:r>
      <w:r w:rsidRPr="00DE3AC6">
        <w:rPr>
          <w:rFonts w:ascii="Sylfaen" w:hAnsi="Sylfaen"/>
          <w:sz w:val="24"/>
          <w:szCs w:val="24"/>
        </w:rPr>
        <w:t xml:space="preserve"> (կամ) տարածաշրջանային ստանդարտի գործող տարբերակի հիման վրա մշակված մի քանի ազգային (պետական) ստանդարտների առկայության դեպքում դրանք բոլորն ընդգրկվում են ցանկում. </w:t>
      </w:r>
    </w:p>
    <w:p w:rsidR="00743425" w:rsidRPr="00DE3AC6" w:rsidRDefault="00F53DEE" w:rsidP="00295C92">
      <w:pPr>
        <w:pStyle w:val="Bodytext20"/>
        <w:shd w:val="clear" w:color="auto" w:fill="auto"/>
        <w:tabs>
          <w:tab w:val="left" w:pos="1701"/>
        </w:tabs>
        <w:spacing w:before="0" w:after="160" w:line="360" w:lineRule="auto"/>
        <w:ind w:left="567" w:right="-8" w:firstLine="547"/>
        <w:rPr>
          <w:rFonts w:ascii="Sylfaen" w:hAnsi="Sylfaen"/>
          <w:sz w:val="24"/>
          <w:szCs w:val="24"/>
        </w:rPr>
      </w:pPr>
      <w:r w:rsidRPr="00DE3AC6">
        <w:rPr>
          <w:rFonts w:ascii="Sylfaen" w:hAnsi="Sylfaen"/>
          <w:sz w:val="24"/>
          <w:szCs w:val="24"/>
        </w:rPr>
        <w:t>գ)</w:t>
      </w:r>
      <w:r w:rsidR="00295C92" w:rsidRPr="00DE3AC6">
        <w:rPr>
          <w:rFonts w:ascii="Sylfaen" w:hAnsi="Sylfaen"/>
          <w:sz w:val="24"/>
          <w:szCs w:val="24"/>
        </w:rPr>
        <w:tab/>
      </w:r>
      <w:r w:rsidR="00205066" w:rsidRPr="00DE3AC6">
        <w:rPr>
          <w:rFonts w:ascii="Sylfaen" w:hAnsi="Sylfaen"/>
          <w:sz w:val="24"/>
          <w:szCs w:val="24"/>
        </w:rPr>
        <w:t>ոչ</w:t>
      </w:r>
      <w:r w:rsidRPr="00DE3AC6">
        <w:rPr>
          <w:rFonts w:ascii="Sylfaen" w:hAnsi="Sylfaen"/>
          <w:sz w:val="24"/>
          <w:szCs w:val="24"/>
        </w:rPr>
        <w:t xml:space="preserve"> միջազգային </w:t>
      </w:r>
      <w:r w:rsidR="00295C92" w:rsidRPr="00DE3AC6">
        <w:rPr>
          <w:rFonts w:ascii="Sylfaen" w:hAnsi="Sylfaen"/>
          <w:sz w:val="24"/>
          <w:szCs w:val="24"/>
        </w:rPr>
        <w:t>եւ</w:t>
      </w:r>
      <w:r w:rsidRPr="00DE3AC6">
        <w:rPr>
          <w:rFonts w:ascii="Sylfaen" w:hAnsi="Sylfaen"/>
          <w:sz w:val="24"/>
          <w:szCs w:val="24"/>
        </w:rPr>
        <w:t xml:space="preserve"> (կամ) տարածաշրջանային ստանդարտների հիման վրա մշակված միջպետական ստանդարտներ.</w:t>
      </w:r>
    </w:p>
    <w:p w:rsidR="00743425" w:rsidRPr="00DE3AC6" w:rsidRDefault="00F53DEE" w:rsidP="00295C92">
      <w:pPr>
        <w:pStyle w:val="Bodytext20"/>
        <w:shd w:val="clear" w:color="auto" w:fill="auto"/>
        <w:tabs>
          <w:tab w:val="left" w:pos="1701"/>
        </w:tabs>
        <w:spacing w:before="0" w:after="160" w:line="360" w:lineRule="auto"/>
        <w:ind w:left="567" w:right="-8" w:firstLine="547"/>
        <w:rPr>
          <w:rFonts w:ascii="Sylfaen" w:hAnsi="Sylfaen"/>
          <w:sz w:val="24"/>
          <w:szCs w:val="24"/>
        </w:rPr>
      </w:pPr>
      <w:r w:rsidRPr="00DE3AC6">
        <w:rPr>
          <w:rFonts w:ascii="Sylfaen" w:hAnsi="Sylfaen"/>
          <w:sz w:val="24"/>
          <w:szCs w:val="24"/>
        </w:rPr>
        <w:t>դ)</w:t>
      </w:r>
      <w:r w:rsidR="00295C92" w:rsidRPr="00DE3AC6">
        <w:rPr>
          <w:rFonts w:ascii="Sylfaen" w:hAnsi="Sylfaen"/>
          <w:sz w:val="24"/>
          <w:szCs w:val="24"/>
        </w:rPr>
        <w:tab/>
      </w:r>
      <w:r w:rsidR="00DD327F" w:rsidRPr="00DE3AC6">
        <w:rPr>
          <w:rFonts w:ascii="Sylfaen" w:hAnsi="Sylfaen"/>
          <w:sz w:val="24"/>
          <w:szCs w:val="24"/>
        </w:rPr>
        <w:t xml:space="preserve">ոչ </w:t>
      </w:r>
      <w:r w:rsidRPr="00DE3AC6">
        <w:rPr>
          <w:rFonts w:ascii="Sylfaen" w:hAnsi="Sylfaen"/>
          <w:sz w:val="24"/>
          <w:szCs w:val="24"/>
        </w:rPr>
        <w:t xml:space="preserve">միջազգային </w:t>
      </w:r>
      <w:r w:rsidR="00295C92" w:rsidRPr="00DE3AC6">
        <w:rPr>
          <w:rFonts w:ascii="Sylfaen" w:hAnsi="Sylfaen"/>
          <w:sz w:val="24"/>
          <w:szCs w:val="24"/>
        </w:rPr>
        <w:t>եւ</w:t>
      </w:r>
      <w:r w:rsidRPr="00DE3AC6">
        <w:rPr>
          <w:rFonts w:ascii="Sylfaen" w:hAnsi="Sylfaen"/>
          <w:sz w:val="24"/>
          <w:szCs w:val="24"/>
        </w:rPr>
        <w:t xml:space="preserve"> (կամ) տարածաշրջանային ստանդարտների հիման վրա մշակված՝ անդամ պետությունների ազգային (պետական) ստանդարտներ:</w:t>
      </w:r>
    </w:p>
    <w:p w:rsidR="00743425" w:rsidRPr="00DE3AC6" w:rsidRDefault="00F53DEE" w:rsidP="00295C92">
      <w:pPr>
        <w:pStyle w:val="Bodytext20"/>
        <w:shd w:val="clear" w:color="auto" w:fill="auto"/>
        <w:tabs>
          <w:tab w:val="left" w:pos="1134"/>
        </w:tabs>
        <w:spacing w:before="0" w:after="160" w:line="360" w:lineRule="auto"/>
        <w:ind w:left="20" w:right="-8" w:firstLine="547"/>
        <w:rPr>
          <w:rFonts w:ascii="Sylfaen" w:hAnsi="Sylfaen"/>
          <w:sz w:val="24"/>
          <w:szCs w:val="24"/>
        </w:rPr>
      </w:pPr>
      <w:r w:rsidRPr="00DE3AC6">
        <w:rPr>
          <w:rFonts w:ascii="Sylfaen" w:hAnsi="Sylfaen"/>
          <w:sz w:val="24"/>
          <w:szCs w:val="24"/>
        </w:rPr>
        <w:t>5.</w:t>
      </w:r>
      <w:r w:rsidR="00295C92" w:rsidRPr="00DE3AC6">
        <w:rPr>
          <w:rFonts w:ascii="Sylfaen" w:hAnsi="Sylfaen"/>
          <w:sz w:val="24"/>
          <w:szCs w:val="24"/>
        </w:rPr>
        <w:tab/>
      </w:r>
      <w:r w:rsidRPr="00DE3AC6">
        <w:rPr>
          <w:rFonts w:ascii="Sylfaen" w:hAnsi="Sylfaen"/>
          <w:sz w:val="24"/>
          <w:szCs w:val="24"/>
        </w:rPr>
        <w:t xml:space="preserve">Նախքան սույն </w:t>
      </w:r>
      <w:r w:rsidR="00F93C43" w:rsidRPr="00DE3AC6">
        <w:rPr>
          <w:rFonts w:ascii="Sylfaen" w:hAnsi="Sylfaen"/>
          <w:sz w:val="24"/>
          <w:szCs w:val="24"/>
        </w:rPr>
        <w:t>կ</w:t>
      </w:r>
      <w:r w:rsidRPr="00DE3AC6">
        <w:rPr>
          <w:rFonts w:ascii="Sylfaen" w:hAnsi="Sylfaen"/>
          <w:sz w:val="24"/>
          <w:szCs w:val="24"/>
        </w:rPr>
        <w:t xml:space="preserve">արգի 4-րդ կետում նշված ստանդարտների մշակումը, որոնք պարունակում են Ընդհանուր պահանջներին բժշկական արտադրատեսակների համապատասխանության հաստատման համար անհրաժեշտ հետազոտությունների (փորձարկումների) եւ չափումների </w:t>
      </w:r>
      <w:r w:rsidRPr="00DE3AC6">
        <w:rPr>
          <w:rFonts w:ascii="Sylfaen" w:hAnsi="Sylfaen"/>
          <w:sz w:val="24"/>
          <w:szCs w:val="24"/>
        </w:rPr>
        <w:lastRenderedPageBreak/>
        <w:t>կանոններ</w:t>
      </w:r>
      <w:r w:rsidR="00024326" w:rsidRPr="00DE3AC6">
        <w:rPr>
          <w:rFonts w:ascii="Sylfaen" w:hAnsi="Sylfaen"/>
          <w:sz w:val="24"/>
          <w:szCs w:val="24"/>
        </w:rPr>
        <w:t>ն ու</w:t>
      </w:r>
      <w:r w:rsidRPr="00DE3AC6">
        <w:rPr>
          <w:rFonts w:ascii="Sylfaen" w:hAnsi="Sylfaen"/>
          <w:sz w:val="24"/>
          <w:szCs w:val="24"/>
        </w:rPr>
        <w:t xml:space="preserve"> մեթոդները, ցանկում կարող են ընդգրկվել անդամ պետության օրենսդրությանը համապատասխան վալիդացված եւ հաստատված՝ հետազոտությունների (փորձարկումների) </w:t>
      </w:r>
      <w:r w:rsidR="00BC2007" w:rsidRPr="00DE3AC6">
        <w:rPr>
          <w:rFonts w:ascii="Sylfaen" w:hAnsi="Sylfaen"/>
          <w:sz w:val="24"/>
          <w:szCs w:val="24"/>
        </w:rPr>
        <w:t>ու</w:t>
      </w:r>
      <w:r w:rsidRPr="00DE3AC6">
        <w:rPr>
          <w:rFonts w:ascii="Sylfaen" w:hAnsi="Sylfaen"/>
          <w:sz w:val="24"/>
          <w:szCs w:val="24"/>
        </w:rPr>
        <w:t xml:space="preserve"> չափումների մեթոդիկաներ։</w:t>
      </w:r>
    </w:p>
    <w:p w:rsidR="00743425" w:rsidRPr="00DE3AC6" w:rsidRDefault="00F53DEE" w:rsidP="00295C92">
      <w:pPr>
        <w:pStyle w:val="Bodytext20"/>
        <w:shd w:val="clear" w:color="auto" w:fill="auto"/>
        <w:tabs>
          <w:tab w:val="left" w:pos="1134"/>
        </w:tabs>
        <w:spacing w:before="0" w:after="160" w:line="360" w:lineRule="auto"/>
        <w:ind w:left="20" w:right="-8" w:firstLine="547"/>
        <w:rPr>
          <w:rFonts w:ascii="Sylfaen" w:hAnsi="Sylfaen"/>
          <w:sz w:val="24"/>
          <w:szCs w:val="24"/>
        </w:rPr>
      </w:pPr>
      <w:r w:rsidRPr="00DE3AC6">
        <w:rPr>
          <w:rFonts w:ascii="Sylfaen" w:hAnsi="Sylfaen"/>
          <w:sz w:val="24"/>
          <w:szCs w:val="24"/>
        </w:rPr>
        <w:t>6.</w:t>
      </w:r>
      <w:r w:rsidR="00295C92" w:rsidRPr="00DE3AC6">
        <w:rPr>
          <w:rFonts w:ascii="Sylfaen" w:hAnsi="Sylfaen"/>
          <w:sz w:val="24"/>
          <w:szCs w:val="24"/>
        </w:rPr>
        <w:tab/>
      </w:r>
      <w:r w:rsidRPr="00DE3AC6">
        <w:rPr>
          <w:rFonts w:ascii="Sylfaen" w:hAnsi="Sylfaen"/>
          <w:sz w:val="24"/>
          <w:szCs w:val="24"/>
        </w:rPr>
        <w:t xml:space="preserve">Ցանկում անդամ պետությունների ազգային (պետական) ստանդարտներ եւ (կամ) հետազոտությունների (փորձարկումների) </w:t>
      </w:r>
      <w:r w:rsidR="00BC2007" w:rsidRPr="00DE3AC6">
        <w:rPr>
          <w:rFonts w:ascii="Sylfaen" w:hAnsi="Sylfaen"/>
          <w:sz w:val="24"/>
          <w:szCs w:val="24"/>
        </w:rPr>
        <w:t>ու</w:t>
      </w:r>
      <w:r w:rsidRPr="00DE3AC6">
        <w:rPr>
          <w:rFonts w:ascii="Sylfaen" w:hAnsi="Sylfaen"/>
          <w:sz w:val="24"/>
          <w:szCs w:val="24"/>
        </w:rPr>
        <w:t xml:space="preserve"> չափումների մեթոդիկաներ </w:t>
      </w:r>
      <w:r w:rsidR="00CF22AD" w:rsidRPr="00DE3AC6">
        <w:rPr>
          <w:rFonts w:ascii="Sylfaen" w:hAnsi="Sylfaen"/>
          <w:sz w:val="24"/>
          <w:szCs w:val="24"/>
        </w:rPr>
        <w:t>ընդգրկ</w:t>
      </w:r>
      <w:r w:rsidRPr="00DE3AC6">
        <w:rPr>
          <w:rFonts w:ascii="Sylfaen" w:hAnsi="Sylfaen"/>
          <w:sz w:val="24"/>
          <w:szCs w:val="24"/>
        </w:rPr>
        <w:t>ելու դեպքում նշված ստանդարտների եւ (կամ) մեթոդիկաների համար ցանկի «Ստանդարտի կիրառումը դադարեցնելու ամսաթիվը» սյունակում անհրաժեշտության դեպքում նշվում է այն ժամկետը, նախքան որի լրանալն անհրաժեշտ է ընդունել եւ ցանկում ընդգրկել ստանդարտացման համապատասխան օբյեկտի</w:t>
      </w:r>
      <w:r w:rsidR="00295C92" w:rsidRPr="00DE3AC6">
        <w:rPr>
          <w:rFonts w:ascii="Sylfaen" w:hAnsi="Sylfaen"/>
          <w:sz w:val="24"/>
          <w:szCs w:val="24"/>
        </w:rPr>
        <w:t xml:space="preserve"> մասով միջպետական ստանդարտները։</w:t>
      </w:r>
    </w:p>
    <w:p w:rsidR="00743425" w:rsidRPr="00DE3AC6" w:rsidRDefault="00F53DEE" w:rsidP="00515E6D">
      <w:pPr>
        <w:pStyle w:val="Bodytext20"/>
        <w:shd w:val="clear" w:color="auto" w:fill="auto"/>
        <w:spacing w:before="0" w:after="160" w:line="372" w:lineRule="auto"/>
        <w:ind w:left="20" w:right="-6" w:firstLine="544"/>
        <w:rPr>
          <w:rFonts w:ascii="Sylfaen" w:hAnsi="Sylfaen"/>
          <w:sz w:val="24"/>
          <w:szCs w:val="24"/>
        </w:rPr>
      </w:pPr>
      <w:r w:rsidRPr="00DE3AC6">
        <w:rPr>
          <w:rFonts w:ascii="Sylfaen" w:hAnsi="Sylfaen"/>
          <w:sz w:val="24"/>
          <w:szCs w:val="24"/>
        </w:rPr>
        <w:t>Անդամ պետությունների՝ բժշկական արտադրատեսակների գրանցումն իրականացնող լիազորված մարմինները (այսուհետ՝ լիազորված մարմիններ) անդամ պետությունների ստանդարտացման հարցերով լիազորված մարմիններ են ներկայացնում համապատասխան միջպետական ստանդարտների մշակման վերաբերյալ առաջարկություններ։</w:t>
      </w:r>
    </w:p>
    <w:p w:rsidR="00743425" w:rsidRPr="00DE3AC6" w:rsidRDefault="00F53DEE" w:rsidP="00515E6D">
      <w:pPr>
        <w:pStyle w:val="Bodytext20"/>
        <w:shd w:val="clear" w:color="auto" w:fill="auto"/>
        <w:tabs>
          <w:tab w:val="left" w:pos="1134"/>
        </w:tabs>
        <w:spacing w:before="0" w:after="160" w:line="372" w:lineRule="auto"/>
        <w:ind w:left="20" w:right="-6" w:firstLine="544"/>
        <w:rPr>
          <w:rFonts w:ascii="Sylfaen" w:hAnsi="Sylfaen"/>
          <w:sz w:val="24"/>
          <w:szCs w:val="24"/>
        </w:rPr>
      </w:pPr>
      <w:r w:rsidRPr="00DE3AC6">
        <w:rPr>
          <w:rFonts w:ascii="Sylfaen" w:hAnsi="Sylfaen"/>
          <w:sz w:val="24"/>
          <w:szCs w:val="24"/>
        </w:rPr>
        <w:t>7.</w:t>
      </w:r>
      <w:r w:rsidR="00295C92" w:rsidRPr="00DE3AC6">
        <w:rPr>
          <w:rFonts w:ascii="Sylfaen" w:hAnsi="Sylfaen"/>
          <w:sz w:val="24"/>
          <w:szCs w:val="24"/>
        </w:rPr>
        <w:tab/>
      </w:r>
      <w:r w:rsidRPr="00DE3AC6">
        <w:rPr>
          <w:rFonts w:ascii="Sylfaen" w:hAnsi="Sylfaen"/>
          <w:sz w:val="24"/>
          <w:szCs w:val="24"/>
        </w:rPr>
        <w:t>Լիազորված մարմիններ</w:t>
      </w:r>
      <w:r w:rsidR="00DD0BEA" w:rsidRPr="00DE3AC6">
        <w:rPr>
          <w:rFonts w:ascii="Sylfaen" w:hAnsi="Sylfaen"/>
          <w:sz w:val="24"/>
          <w:szCs w:val="24"/>
        </w:rPr>
        <w:t>ն</w:t>
      </w:r>
      <w:r w:rsidRPr="00DE3AC6">
        <w:rPr>
          <w:rFonts w:ascii="Sylfaen" w:hAnsi="Sylfaen"/>
          <w:sz w:val="24"/>
          <w:szCs w:val="24"/>
        </w:rPr>
        <w:t xml:space="preserve"> </w:t>
      </w:r>
      <w:r w:rsidR="00EB6B04" w:rsidRPr="00DE3AC6">
        <w:rPr>
          <w:rFonts w:ascii="Sylfaen" w:hAnsi="Sylfaen"/>
          <w:sz w:val="24"/>
          <w:szCs w:val="24"/>
        </w:rPr>
        <w:t xml:space="preserve">առաջարկություններ են </w:t>
      </w:r>
      <w:r w:rsidRPr="00DE3AC6">
        <w:rPr>
          <w:rFonts w:ascii="Sylfaen" w:hAnsi="Sylfaen"/>
          <w:sz w:val="24"/>
          <w:szCs w:val="24"/>
        </w:rPr>
        <w:t>ուղարկում Եվրասիական տնտեսական հանձնաժողով (այսուհետ՝ Հանձնաժողով)</w:t>
      </w:r>
      <w:r w:rsidR="00EB6B04" w:rsidRPr="00DE3AC6">
        <w:rPr>
          <w:rFonts w:ascii="Sylfaen" w:hAnsi="Sylfaen"/>
          <w:sz w:val="24"/>
          <w:szCs w:val="24"/>
        </w:rPr>
        <w:t>՝</w:t>
      </w:r>
      <w:r w:rsidRPr="00DE3AC6">
        <w:rPr>
          <w:rFonts w:ascii="Sylfaen" w:hAnsi="Sylfaen"/>
          <w:sz w:val="24"/>
          <w:szCs w:val="24"/>
        </w:rPr>
        <w:t xml:space="preserve"> ըստ Ընդհանուր պահանջների թիվ 1 հավելվածով նախատեսված ձեւի</w:t>
      </w:r>
      <w:r w:rsidR="00EB6B04" w:rsidRPr="00DE3AC6">
        <w:rPr>
          <w:rFonts w:ascii="Sylfaen" w:hAnsi="Sylfaen"/>
          <w:sz w:val="24"/>
          <w:szCs w:val="24"/>
        </w:rPr>
        <w:t>,</w:t>
      </w:r>
      <w:r w:rsidRPr="00DE3AC6">
        <w:rPr>
          <w:rFonts w:ascii="Sylfaen" w:hAnsi="Sylfaen"/>
          <w:sz w:val="24"/>
          <w:szCs w:val="24"/>
        </w:rPr>
        <w:t xml:space="preserve"> ցանկում ստանդարտներ ընդգրկելու մասին, ինչպես նաեւ Ընդհանուր պահանջների նպատակներին այդ ստանդարտների համապատասխանության վերլուծության արդյունքներ</w:t>
      </w:r>
      <w:r w:rsidR="00C05768" w:rsidRPr="00DE3AC6">
        <w:rPr>
          <w:rFonts w:ascii="Sylfaen" w:hAnsi="Sylfaen"/>
          <w:sz w:val="24"/>
          <w:szCs w:val="24"/>
        </w:rPr>
        <w:t>ը՝</w:t>
      </w:r>
      <w:r w:rsidRPr="00DE3AC6">
        <w:rPr>
          <w:rFonts w:ascii="Sylfaen" w:hAnsi="Sylfaen"/>
          <w:sz w:val="24"/>
          <w:szCs w:val="24"/>
        </w:rPr>
        <w:t xml:space="preserve"> համաձայն թիվ 2 հավելվածի</w:t>
      </w:r>
      <w:r w:rsidR="00C05768" w:rsidRPr="00DE3AC6">
        <w:rPr>
          <w:rFonts w:ascii="Sylfaen" w:hAnsi="Sylfaen"/>
          <w:sz w:val="24"/>
          <w:szCs w:val="24"/>
        </w:rPr>
        <w:t xml:space="preserve"> ձ</w:t>
      </w:r>
      <w:r w:rsidR="00295C92" w:rsidRPr="00DE3AC6">
        <w:rPr>
          <w:rFonts w:ascii="Sylfaen" w:hAnsi="Sylfaen"/>
          <w:sz w:val="24"/>
          <w:szCs w:val="24"/>
        </w:rPr>
        <w:t>եւ</w:t>
      </w:r>
      <w:r w:rsidR="00C05768" w:rsidRPr="00DE3AC6">
        <w:rPr>
          <w:rFonts w:ascii="Sylfaen" w:hAnsi="Sylfaen"/>
          <w:sz w:val="24"/>
          <w:szCs w:val="24"/>
        </w:rPr>
        <w:t>ի</w:t>
      </w:r>
      <w:r w:rsidRPr="00DE3AC6">
        <w:rPr>
          <w:rFonts w:ascii="Sylfaen" w:hAnsi="Sylfaen"/>
          <w:sz w:val="24"/>
          <w:szCs w:val="24"/>
        </w:rPr>
        <w:t>։</w:t>
      </w:r>
    </w:p>
    <w:p w:rsidR="00743425" w:rsidRPr="00DE3AC6" w:rsidRDefault="00F53DEE" w:rsidP="00515E6D">
      <w:pPr>
        <w:pStyle w:val="Bodytext20"/>
        <w:shd w:val="clear" w:color="auto" w:fill="auto"/>
        <w:tabs>
          <w:tab w:val="left" w:pos="1134"/>
        </w:tabs>
        <w:spacing w:before="0" w:after="160" w:line="372" w:lineRule="auto"/>
        <w:ind w:left="20" w:right="-6" w:firstLine="544"/>
        <w:rPr>
          <w:rFonts w:ascii="Sylfaen" w:hAnsi="Sylfaen"/>
          <w:sz w:val="24"/>
          <w:szCs w:val="24"/>
        </w:rPr>
      </w:pPr>
      <w:r w:rsidRPr="00DE3AC6">
        <w:rPr>
          <w:rFonts w:ascii="Sylfaen" w:hAnsi="Sylfaen"/>
          <w:sz w:val="24"/>
          <w:szCs w:val="24"/>
        </w:rPr>
        <w:t>8.</w:t>
      </w:r>
      <w:r w:rsidR="00295C92" w:rsidRPr="00DE3AC6">
        <w:rPr>
          <w:rFonts w:ascii="Sylfaen" w:hAnsi="Sylfaen"/>
          <w:sz w:val="24"/>
          <w:szCs w:val="24"/>
        </w:rPr>
        <w:tab/>
      </w:r>
      <w:r w:rsidRPr="00DE3AC6">
        <w:rPr>
          <w:rFonts w:ascii="Sylfaen" w:hAnsi="Sylfaen"/>
          <w:sz w:val="24"/>
          <w:szCs w:val="24"/>
        </w:rPr>
        <w:t>Ցանկում ստանդարտներ ընդգրկելու եւ փոփոխություններ կատարելու վերաբերյալ առաջարկություններ նախապատրաստելիս լիազորված մարմինը՝</w:t>
      </w:r>
    </w:p>
    <w:p w:rsidR="00743425" w:rsidRPr="00DE3AC6" w:rsidRDefault="00F53DEE" w:rsidP="00515E6D">
      <w:pPr>
        <w:pStyle w:val="Bodytext20"/>
        <w:shd w:val="clear" w:color="auto" w:fill="auto"/>
        <w:tabs>
          <w:tab w:val="left" w:pos="1701"/>
        </w:tabs>
        <w:spacing w:before="0" w:after="160" w:line="372" w:lineRule="auto"/>
        <w:ind w:left="567" w:right="-6" w:firstLine="544"/>
        <w:rPr>
          <w:rFonts w:ascii="Sylfaen" w:hAnsi="Sylfaen"/>
          <w:sz w:val="24"/>
          <w:szCs w:val="24"/>
        </w:rPr>
      </w:pPr>
      <w:r w:rsidRPr="00DE3AC6">
        <w:rPr>
          <w:rFonts w:ascii="Sylfaen" w:hAnsi="Sylfaen"/>
          <w:sz w:val="24"/>
          <w:szCs w:val="24"/>
        </w:rPr>
        <w:t>ա)</w:t>
      </w:r>
      <w:r w:rsidR="00515E6D" w:rsidRPr="00DE3AC6">
        <w:rPr>
          <w:rFonts w:ascii="Sylfaen" w:hAnsi="Sylfaen"/>
          <w:sz w:val="24"/>
          <w:szCs w:val="24"/>
        </w:rPr>
        <w:tab/>
      </w:r>
      <w:r w:rsidRPr="00DE3AC6">
        <w:rPr>
          <w:rFonts w:ascii="Sylfaen" w:hAnsi="Sylfaen"/>
          <w:sz w:val="24"/>
          <w:szCs w:val="24"/>
        </w:rPr>
        <w:t xml:space="preserve">իրականացնում է ստանդարտների վերլուծություն՝ դրանց կիրառման արդյունքում Ընդհանուր պահանջներին բժշկական արտադրատեսակի համապատասխանության պահպանումն ապահովելու </w:t>
      </w:r>
      <w:r w:rsidRPr="00DE3AC6">
        <w:rPr>
          <w:rFonts w:ascii="Sylfaen" w:hAnsi="Sylfaen"/>
          <w:sz w:val="24"/>
          <w:szCs w:val="24"/>
        </w:rPr>
        <w:lastRenderedPageBreak/>
        <w:t>հնարավորությունը որոշելու համար, այդ թվում՝ հաշվի առնելով Բժշկական արտադրատեսակների հարցերով զբաղվող կարգավորող մարմինների միջազգային ֆորումի (IMDRF) հանձնարարականները.</w:t>
      </w:r>
    </w:p>
    <w:p w:rsidR="00743425" w:rsidRPr="00DE3AC6" w:rsidRDefault="00F53DEE" w:rsidP="00515E6D">
      <w:pPr>
        <w:pStyle w:val="Bodytext20"/>
        <w:shd w:val="clear" w:color="auto" w:fill="auto"/>
        <w:tabs>
          <w:tab w:val="left" w:pos="1701"/>
        </w:tabs>
        <w:spacing w:before="0" w:after="160" w:line="360" w:lineRule="auto"/>
        <w:ind w:left="567" w:right="-8" w:firstLine="547"/>
        <w:rPr>
          <w:rFonts w:ascii="Sylfaen" w:hAnsi="Sylfaen"/>
          <w:sz w:val="24"/>
          <w:szCs w:val="24"/>
        </w:rPr>
      </w:pPr>
      <w:r w:rsidRPr="00DE3AC6">
        <w:rPr>
          <w:rFonts w:ascii="Sylfaen" w:hAnsi="Sylfaen"/>
          <w:sz w:val="24"/>
          <w:szCs w:val="24"/>
        </w:rPr>
        <w:t>բ)</w:t>
      </w:r>
      <w:r w:rsidR="00515E6D" w:rsidRPr="00DE3AC6">
        <w:rPr>
          <w:rFonts w:ascii="Sylfaen" w:hAnsi="Sylfaen"/>
          <w:sz w:val="24"/>
          <w:szCs w:val="24"/>
        </w:rPr>
        <w:tab/>
      </w:r>
      <w:r w:rsidRPr="00DE3AC6">
        <w:rPr>
          <w:rFonts w:ascii="Sylfaen" w:hAnsi="Sylfaen"/>
          <w:sz w:val="24"/>
          <w:szCs w:val="24"/>
        </w:rPr>
        <w:t xml:space="preserve">իրականացնում է ստանդարտների կիրառման միջազգային փորձի վերլուծություն՝ բժշկական արտադրատեսակների անվտանգության եւ արդյունավետության ապահովման համար. </w:t>
      </w:r>
    </w:p>
    <w:p w:rsidR="00743425" w:rsidRPr="00DE3AC6" w:rsidRDefault="00F53DEE" w:rsidP="00515E6D">
      <w:pPr>
        <w:pStyle w:val="Bodytext20"/>
        <w:shd w:val="clear" w:color="auto" w:fill="auto"/>
        <w:tabs>
          <w:tab w:val="left" w:pos="1701"/>
        </w:tabs>
        <w:spacing w:before="0" w:after="160" w:line="360" w:lineRule="auto"/>
        <w:ind w:left="567" w:right="-8" w:firstLine="547"/>
        <w:rPr>
          <w:rFonts w:ascii="Sylfaen" w:hAnsi="Sylfaen"/>
          <w:sz w:val="24"/>
          <w:szCs w:val="24"/>
        </w:rPr>
      </w:pPr>
      <w:r w:rsidRPr="00DE3AC6">
        <w:rPr>
          <w:rFonts w:ascii="Sylfaen" w:hAnsi="Sylfaen"/>
          <w:sz w:val="24"/>
          <w:szCs w:val="24"/>
        </w:rPr>
        <w:t>գ)</w:t>
      </w:r>
      <w:r w:rsidR="00515E6D" w:rsidRPr="00DE3AC6">
        <w:rPr>
          <w:rFonts w:ascii="Sylfaen" w:hAnsi="Sylfaen"/>
          <w:sz w:val="24"/>
          <w:szCs w:val="24"/>
        </w:rPr>
        <w:tab/>
      </w:r>
      <w:r w:rsidRPr="00DE3AC6">
        <w:rPr>
          <w:rFonts w:ascii="Sylfaen" w:hAnsi="Sylfaen"/>
          <w:sz w:val="24"/>
          <w:szCs w:val="24"/>
        </w:rPr>
        <w:t xml:space="preserve">ընտրում է Ընդհանուր պահանջների նպատակներին առավել համապատասխանող ստանդարտները։ Ընդհանուր պահանջների դրույթների պահպանումը կարող է ապահովվել կամավոր հիմունքով ստանդարտի պահանջներն ամբողջությամբ կամ ստանդարտի մեկ կամ մի քանի բաժինների, կետերի, ենթակետերի պահանջները կիրառելով։ </w:t>
      </w:r>
    </w:p>
    <w:p w:rsidR="00743425" w:rsidRPr="00DE3AC6" w:rsidRDefault="00F53DEE" w:rsidP="00515E6D">
      <w:pPr>
        <w:pStyle w:val="Bodytext20"/>
        <w:shd w:val="clear" w:color="auto" w:fill="auto"/>
        <w:tabs>
          <w:tab w:val="left" w:pos="1134"/>
        </w:tabs>
        <w:spacing w:before="0" w:after="160" w:line="360" w:lineRule="auto"/>
        <w:ind w:left="20" w:right="-8" w:firstLine="547"/>
        <w:rPr>
          <w:rFonts w:ascii="Sylfaen" w:hAnsi="Sylfaen"/>
          <w:sz w:val="24"/>
          <w:szCs w:val="24"/>
        </w:rPr>
      </w:pPr>
      <w:r w:rsidRPr="00DE3AC6">
        <w:rPr>
          <w:rFonts w:ascii="Sylfaen" w:hAnsi="Sylfaen"/>
          <w:sz w:val="24"/>
          <w:szCs w:val="24"/>
        </w:rPr>
        <w:t>9.</w:t>
      </w:r>
      <w:r w:rsidR="00515E6D" w:rsidRPr="00DE3AC6">
        <w:rPr>
          <w:rFonts w:ascii="Sylfaen" w:hAnsi="Sylfaen"/>
          <w:sz w:val="24"/>
          <w:szCs w:val="24"/>
        </w:rPr>
        <w:tab/>
      </w:r>
      <w:r w:rsidRPr="00DE3AC6">
        <w:rPr>
          <w:rFonts w:ascii="Sylfaen" w:hAnsi="Sylfaen"/>
          <w:sz w:val="24"/>
          <w:szCs w:val="24"/>
        </w:rPr>
        <w:t>Հանձնաժողովը լիազորված մարմնից ստաց</w:t>
      </w:r>
      <w:r w:rsidR="00C02567" w:rsidRPr="00DE3AC6">
        <w:rPr>
          <w:rFonts w:ascii="Sylfaen" w:hAnsi="Sylfaen"/>
          <w:sz w:val="24"/>
          <w:szCs w:val="24"/>
        </w:rPr>
        <w:t>վ</w:t>
      </w:r>
      <w:r w:rsidRPr="00DE3AC6">
        <w:rPr>
          <w:rFonts w:ascii="Sylfaen" w:hAnsi="Sylfaen"/>
          <w:sz w:val="24"/>
          <w:szCs w:val="24"/>
        </w:rPr>
        <w:t>ած առաջարկություններն ուղարկում է այլ լիազորված մարմինների</w:t>
      </w:r>
      <w:r w:rsidR="00A21C5A" w:rsidRPr="00DE3AC6">
        <w:rPr>
          <w:rFonts w:ascii="Sylfaen" w:hAnsi="Sylfaen"/>
          <w:sz w:val="24"/>
          <w:szCs w:val="24"/>
        </w:rPr>
        <w:t>՝</w:t>
      </w:r>
      <w:r w:rsidRPr="00DE3AC6">
        <w:rPr>
          <w:rFonts w:ascii="Sylfaen" w:hAnsi="Sylfaen"/>
          <w:sz w:val="24"/>
          <w:szCs w:val="24"/>
        </w:rPr>
        <w:t xml:space="preserve"> </w:t>
      </w:r>
      <w:r w:rsidR="00D4446C" w:rsidRPr="00DE3AC6">
        <w:rPr>
          <w:rFonts w:ascii="Sylfaen" w:hAnsi="Sylfaen"/>
          <w:sz w:val="24"/>
          <w:szCs w:val="24"/>
        </w:rPr>
        <w:t>դրանք</w:t>
      </w:r>
      <w:r w:rsidRPr="00DE3AC6">
        <w:rPr>
          <w:rFonts w:ascii="Sylfaen" w:hAnsi="Sylfaen"/>
          <w:sz w:val="24"/>
          <w:szCs w:val="24"/>
        </w:rPr>
        <w:t xml:space="preserve"> ստանալու օրվանից 5</w:t>
      </w:r>
      <w:r w:rsidR="00515E6D" w:rsidRPr="00DE3AC6">
        <w:rPr>
          <w:rFonts w:ascii="Sylfaen" w:hAnsi="Sylfaen"/>
          <w:sz w:val="24"/>
          <w:szCs w:val="24"/>
        </w:rPr>
        <w:t> </w:t>
      </w:r>
      <w:r w:rsidRPr="00DE3AC6">
        <w:rPr>
          <w:rFonts w:ascii="Sylfaen" w:hAnsi="Sylfaen"/>
          <w:sz w:val="24"/>
          <w:szCs w:val="24"/>
        </w:rPr>
        <w:t>աշխատանքային օրվա ընթացքում։</w:t>
      </w:r>
    </w:p>
    <w:p w:rsidR="00743425" w:rsidRPr="00DE3AC6" w:rsidRDefault="00F53DEE" w:rsidP="00515E6D">
      <w:pPr>
        <w:pStyle w:val="Bodytext20"/>
        <w:shd w:val="clear" w:color="auto" w:fill="auto"/>
        <w:tabs>
          <w:tab w:val="left" w:pos="1134"/>
        </w:tabs>
        <w:spacing w:before="0" w:after="160" w:line="360" w:lineRule="auto"/>
        <w:ind w:left="20" w:right="-8" w:firstLine="547"/>
        <w:rPr>
          <w:rFonts w:ascii="Sylfaen" w:hAnsi="Sylfaen"/>
          <w:sz w:val="24"/>
          <w:szCs w:val="24"/>
        </w:rPr>
      </w:pPr>
      <w:r w:rsidRPr="00DE3AC6">
        <w:rPr>
          <w:rFonts w:ascii="Sylfaen" w:hAnsi="Sylfaen"/>
          <w:sz w:val="24"/>
          <w:szCs w:val="24"/>
        </w:rPr>
        <w:t>10.</w:t>
      </w:r>
      <w:r w:rsidR="00515E6D" w:rsidRPr="00DE3AC6">
        <w:rPr>
          <w:rFonts w:ascii="Sylfaen" w:hAnsi="Sylfaen"/>
          <w:sz w:val="24"/>
          <w:szCs w:val="24"/>
        </w:rPr>
        <w:tab/>
      </w:r>
      <w:r w:rsidRPr="00DE3AC6">
        <w:rPr>
          <w:rFonts w:ascii="Sylfaen" w:hAnsi="Sylfaen"/>
          <w:sz w:val="24"/>
          <w:szCs w:val="24"/>
        </w:rPr>
        <w:t>Ստացված առաջարկությունների հետ համաձայն չլինելու դեպքում լիազորված մարմինները Հանձնաժողով են ուղարկում այդ առաջարկությունների վերաբերյալ իրենց դիտողությունները՝ դրանք ստանալու օրվանից 30</w:t>
      </w:r>
      <w:r w:rsidR="00515E6D" w:rsidRPr="00DE3AC6">
        <w:rPr>
          <w:rFonts w:ascii="Sylfaen" w:hAnsi="Sylfaen"/>
          <w:sz w:val="24"/>
          <w:szCs w:val="24"/>
        </w:rPr>
        <w:t> </w:t>
      </w:r>
      <w:r w:rsidRPr="00DE3AC6">
        <w:rPr>
          <w:rFonts w:ascii="Sylfaen" w:hAnsi="Sylfaen"/>
          <w:sz w:val="24"/>
          <w:szCs w:val="24"/>
        </w:rPr>
        <w:t xml:space="preserve">աշխատանքային օրվա ընթացքում (հիմնավորմամբ)։ Նշված ժամկետում լիազորված մարմնի դիտողությունների բացակայության դեպքում այդ առաջարկությունները համարվում են համաձայնեցված։ </w:t>
      </w:r>
    </w:p>
    <w:p w:rsidR="00743425" w:rsidRPr="00DE3AC6" w:rsidRDefault="00F53DEE" w:rsidP="00295C92">
      <w:pPr>
        <w:pStyle w:val="Bodytext20"/>
        <w:shd w:val="clear" w:color="auto" w:fill="auto"/>
        <w:spacing w:before="0" w:after="160" w:line="360" w:lineRule="auto"/>
        <w:ind w:left="20" w:right="-8" w:firstLine="547"/>
        <w:rPr>
          <w:rFonts w:ascii="Sylfaen" w:hAnsi="Sylfaen"/>
          <w:sz w:val="24"/>
          <w:szCs w:val="24"/>
        </w:rPr>
      </w:pPr>
      <w:r w:rsidRPr="00DE3AC6">
        <w:rPr>
          <w:rFonts w:ascii="Sylfaen" w:hAnsi="Sylfaen"/>
          <w:sz w:val="24"/>
          <w:szCs w:val="24"/>
        </w:rPr>
        <w:t>Լիազորված մարմինների նշված դիտողությունները քննարկվում են Եվրասիական տնտեսական միության շրջանակներում բժշկական արտադրատեսակների շրջանառության կարգավորման ընդհանուր մոտեցումների ձեւավորման հարցերով աշխատանքային խմբի նիստում։ Ցանկում ստանդարտն ընդգրկելու կամ ցանկից այն հանելու նպատակահարմարության մասին որոշումն ընդունվում է ընդհանուր համաձայնության (կոնսենսուսի) հիման վրա։ Տվյալ որոշման հիման վրա ցանկում փոփոխություններ կատարելու մասին հարցը սահմանված կարգով քննարկվում է Հանձնաժողովի կոլեգիայի նիստում։</w:t>
      </w:r>
    </w:p>
    <w:p w:rsidR="00743425" w:rsidRPr="00DE3AC6" w:rsidRDefault="00F53DEE" w:rsidP="00317587">
      <w:pPr>
        <w:pStyle w:val="Bodytext20"/>
        <w:shd w:val="clear" w:color="auto" w:fill="auto"/>
        <w:tabs>
          <w:tab w:val="left" w:pos="1134"/>
        </w:tabs>
        <w:spacing w:before="0" w:after="160" w:line="372" w:lineRule="auto"/>
        <w:ind w:left="20" w:right="-8" w:firstLine="544"/>
        <w:rPr>
          <w:rFonts w:ascii="Sylfaen" w:hAnsi="Sylfaen"/>
          <w:sz w:val="24"/>
          <w:szCs w:val="24"/>
        </w:rPr>
      </w:pPr>
      <w:r w:rsidRPr="00DE3AC6">
        <w:rPr>
          <w:rFonts w:ascii="Sylfaen" w:hAnsi="Sylfaen"/>
          <w:sz w:val="24"/>
          <w:szCs w:val="24"/>
        </w:rPr>
        <w:lastRenderedPageBreak/>
        <w:t>11.</w:t>
      </w:r>
      <w:r w:rsidR="00515E6D" w:rsidRPr="00DE3AC6">
        <w:rPr>
          <w:rFonts w:ascii="Sylfaen" w:hAnsi="Sylfaen"/>
          <w:sz w:val="24"/>
          <w:szCs w:val="24"/>
        </w:rPr>
        <w:tab/>
      </w:r>
      <w:r w:rsidRPr="00DE3AC6">
        <w:rPr>
          <w:rFonts w:ascii="Sylfaen" w:hAnsi="Sylfaen"/>
          <w:sz w:val="24"/>
          <w:szCs w:val="24"/>
        </w:rPr>
        <w:t>Ցանկում անդամ պետության՝ միջազգային եւ (կամ) տարածաշրջանային ստանդարտների հիման վրա մշակված ազգային (պետական) ստանդարտ ընդգրկելու դեպքում լրացուցիչ նշվում են այդ միջազգային եւ (կամ) տարածաշրջանային ստանդարտների նշագրերը, ինչպես նաեւ նշված ստանդարտի հետ անդամ պետության ազգային (պետական) ստանդարտի ներդաշնակեցման աստիճանը։</w:t>
      </w:r>
    </w:p>
    <w:p w:rsidR="00743425" w:rsidRPr="00DE3AC6" w:rsidRDefault="00F53DEE" w:rsidP="00515E6D">
      <w:pPr>
        <w:pStyle w:val="Bodytext20"/>
        <w:shd w:val="clear" w:color="auto" w:fill="auto"/>
        <w:spacing w:before="0" w:after="160" w:line="372" w:lineRule="auto"/>
        <w:ind w:left="20" w:firstLine="544"/>
        <w:rPr>
          <w:rFonts w:ascii="Sylfaen" w:hAnsi="Sylfaen"/>
          <w:sz w:val="24"/>
          <w:szCs w:val="24"/>
        </w:rPr>
      </w:pPr>
      <w:r w:rsidRPr="00DE3AC6">
        <w:rPr>
          <w:rFonts w:ascii="Sylfaen" w:hAnsi="Sylfaen"/>
          <w:sz w:val="24"/>
          <w:szCs w:val="24"/>
        </w:rPr>
        <w:t>Միջազգային կամ տարածաշրջանային ստանդարտները կիրառվում են որպես միջպետական կամ ազգային (պետական) ստանդարտներ</w:t>
      </w:r>
      <w:r w:rsidR="001C722A" w:rsidRPr="00DE3AC6">
        <w:rPr>
          <w:rFonts w:ascii="Sylfaen" w:hAnsi="Sylfaen"/>
          <w:sz w:val="24"/>
          <w:szCs w:val="24"/>
        </w:rPr>
        <w:t>՝</w:t>
      </w:r>
      <w:r w:rsidRPr="00DE3AC6">
        <w:rPr>
          <w:rFonts w:ascii="Sylfaen" w:hAnsi="Sylfaen"/>
          <w:sz w:val="24"/>
          <w:szCs w:val="24"/>
        </w:rPr>
        <w:t xml:space="preserve"> դրան</w:t>
      </w:r>
      <w:r w:rsidR="00EF2CA2" w:rsidRPr="00DE3AC6">
        <w:rPr>
          <w:rFonts w:ascii="Sylfaen" w:hAnsi="Sylfaen"/>
          <w:sz w:val="24"/>
          <w:szCs w:val="24"/>
        </w:rPr>
        <w:t>ք</w:t>
      </w:r>
      <w:r w:rsidRPr="00DE3AC6">
        <w:rPr>
          <w:rFonts w:ascii="Sylfaen" w:hAnsi="Sylfaen"/>
          <w:sz w:val="24"/>
          <w:szCs w:val="24"/>
        </w:rPr>
        <w:t xml:space="preserve"> ընդունվելուց հետո։</w:t>
      </w:r>
    </w:p>
    <w:p w:rsidR="00743425" w:rsidRPr="00DE3AC6" w:rsidRDefault="00F53DEE" w:rsidP="00515E6D">
      <w:pPr>
        <w:pStyle w:val="Bodytext20"/>
        <w:shd w:val="clear" w:color="auto" w:fill="auto"/>
        <w:tabs>
          <w:tab w:val="left" w:pos="1134"/>
        </w:tabs>
        <w:spacing w:before="0" w:after="160" w:line="372" w:lineRule="auto"/>
        <w:ind w:left="20" w:firstLine="544"/>
        <w:rPr>
          <w:rFonts w:ascii="Sylfaen" w:hAnsi="Sylfaen"/>
          <w:sz w:val="24"/>
          <w:szCs w:val="24"/>
        </w:rPr>
      </w:pPr>
      <w:r w:rsidRPr="00DE3AC6">
        <w:rPr>
          <w:rFonts w:ascii="Sylfaen" w:hAnsi="Sylfaen"/>
          <w:sz w:val="24"/>
          <w:szCs w:val="24"/>
        </w:rPr>
        <w:t>12.</w:t>
      </w:r>
      <w:r w:rsidR="00515E6D" w:rsidRPr="00DE3AC6">
        <w:rPr>
          <w:rFonts w:ascii="Sylfaen" w:hAnsi="Sylfaen"/>
          <w:sz w:val="24"/>
          <w:szCs w:val="24"/>
        </w:rPr>
        <w:tab/>
      </w:r>
      <w:r w:rsidRPr="00DE3AC6">
        <w:rPr>
          <w:rFonts w:ascii="Sylfaen" w:hAnsi="Sylfaen"/>
          <w:sz w:val="24"/>
          <w:szCs w:val="24"/>
        </w:rPr>
        <w:t>Ցանկում փոփոխությունները կատարվում են ցանկում ստանդարտն ընդգրկելու կամ ցանկից այն հանելու համար նախատեսված կարգով՝ հետեւյալ դեպքերում՝</w:t>
      </w:r>
    </w:p>
    <w:p w:rsidR="00743425" w:rsidRPr="00DE3AC6" w:rsidRDefault="00F53DEE" w:rsidP="00515E6D">
      <w:pPr>
        <w:pStyle w:val="Bodytext20"/>
        <w:shd w:val="clear" w:color="auto" w:fill="auto"/>
        <w:tabs>
          <w:tab w:val="left" w:pos="1701"/>
        </w:tabs>
        <w:spacing w:before="0" w:after="160" w:line="372" w:lineRule="auto"/>
        <w:ind w:left="567" w:firstLine="544"/>
        <w:rPr>
          <w:rFonts w:ascii="Sylfaen" w:hAnsi="Sylfaen"/>
          <w:sz w:val="24"/>
          <w:szCs w:val="24"/>
        </w:rPr>
      </w:pPr>
      <w:r w:rsidRPr="00DE3AC6">
        <w:rPr>
          <w:rFonts w:ascii="Sylfaen" w:hAnsi="Sylfaen"/>
          <w:sz w:val="24"/>
          <w:szCs w:val="24"/>
        </w:rPr>
        <w:t>ա)</w:t>
      </w:r>
      <w:r w:rsidR="00515E6D" w:rsidRPr="00DE3AC6">
        <w:rPr>
          <w:rFonts w:ascii="Sylfaen" w:hAnsi="Sylfaen"/>
          <w:sz w:val="24"/>
          <w:szCs w:val="24"/>
        </w:rPr>
        <w:tab/>
      </w:r>
      <w:r w:rsidRPr="00DE3AC6">
        <w:rPr>
          <w:rFonts w:ascii="Sylfaen" w:hAnsi="Sylfaen"/>
          <w:sz w:val="24"/>
          <w:szCs w:val="24"/>
        </w:rPr>
        <w:t xml:space="preserve">Ընդհանուր պահանջների նպատակներին ստանդարտի անհամապատասխանությունը. </w:t>
      </w:r>
    </w:p>
    <w:p w:rsidR="00743425" w:rsidRPr="00DE3AC6" w:rsidRDefault="00F53DEE" w:rsidP="00515E6D">
      <w:pPr>
        <w:pStyle w:val="Bodytext20"/>
        <w:shd w:val="clear" w:color="auto" w:fill="auto"/>
        <w:tabs>
          <w:tab w:val="left" w:pos="1701"/>
        </w:tabs>
        <w:spacing w:before="0" w:after="160" w:line="372" w:lineRule="auto"/>
        <w:ind w:left="567" w:firstLine="544"/>
        <w:rPr>
          <w:rFonts w:ascii="Sylfaen" w:hAnsi="Sylfaen"/>
          <w:sz w:val="24"/>
          <w:szCs w:val="24"/>
        </w:rPr>
      </w:pPr>
      <w:r w:rsidRPr="00DE3AC6">
        <w:rPr>
          <w:rFonts w:ascii="Sylfaen" w:hAnsi="Sylfaen"/>
          <w:sz w:val="24"/>
          <w:szCs w:val="24"/>
        </w:rPr>
        <w:t>բ)</w:t>
      </w:r>
      <w:r w:rsidR="00515E6D" w:rsidRPr="00DE3AC6">
        <w:rPr>
          <w:rFonts w:ascii="Sylfaen" w:hAnsi="Sylfaen"/>
          <w:sz w:val="24"/>
          <w:szCs w:val="24"/>
        </w:rPr>
        <w:tab/>
      </w:r>
      <w:r w:rsidRPr="00DE3AC6">
        <w:rPr>
          <w:rFonts w:ascii="Sylfaen" w:hAnsi="Sylfaen"/>
          <w:sz w:val="24"/>
          <w:szCs w:val="24"/>
        </w:rPr>
        <w:t>ստանդարտի գործողության չեղարկումը.</w:t>
      </w:r>
    </w:p>
    <w:p w:rsidR="00743425" w:rsidRPr="00DE3AC6" w:rsidRDefault="00F53DEE" w:rsidP="00515E6D">
      <w:pPr>
        <w:pStyle w:val="Bodytext20"/>
        <w:shd w:val="clear" w:color="auto" w:fill="auto"/>
        <w:tabs>
          <w:tab w:val="left" w:pos="1701"/>
        </w:tabs>
        <w:spacing w:before="0" w:after="160" w:line="372" w:lineRule="auto"/>
        <w:ind w:left="567" w:firstLine="544"/>
        <w:rPr>
          <w:rFonts w:ascii="Sylfaen" w:hAnsi="Sylfaen"/>
          <w:sz w:val="24"/>
          <w:szCs w:val="24"/>
        </w:rPr>
      </w:pPr>
      <w:r w:rsidRPr="00DE3AC6">
        <w:rPr>
          <w:rFonts w:ascii="Sylfaen" w:hAnsi="Sylfaen"/>
          <w:sz w:val="24"/>
          <w:szCs w:val="24"/>
        </w:rPr>
        <w:t>գ)</w:t>
      </w:r>
      <w:r w:rsidR="00515E6D" w:rsidRPr="00DE3AC6">
        <w:rPr>
          <w:rFonts w:ascii="Sylfaen" w:hAnsi="Sylfaen"/>
          <w:sz w:val="24"/>
          <w:szCs w:val="24"/>
        </w:rPr>
        <w:tab/>
      </w:r>
      <w:r w:rsidRPr="00DE3AC6">
        <w:rPr>
          <w:rFonts w:ascii="Sylfaen" w:hAnsi="Sylfaen"/>
          <w:sz w:val="24"/>
          <w:szCs w:val="24"/>
        </w:rPr>
        <w:t>ստանդարտի հին տարբերակը ակտուալ տարբերակով փոխարինելը։</w:t>
      </w:r>
    </w:p>
    <w:p w:rsidR="00743425" w:rsidRPr="00DE3AC6" w:rsidRDefault="00F53DEE" w:rsidP="00515E6D">
      <w:pPr>
        <w:pStyle w:val="Bodytext20"/>
        <w:shd w:val="clear" w:color="auto" w:fill="auto"/>
        <w:tabs>
          <w:tab w:val="left" w:pos="1134"/>
        </w:tabs>
        <w:spacing w:before="0" w:after="160" w:line="372" w:lineRule="auto"/>
        <w:ind w:left="20" w:firstLine="544"/>
        <w:rPr>
          <w:rFonts w:ascii="Sylfaen" w:hAnsi="Sylfaen"/>
          <w:sz w:val="24"/>
          <w:szCs w:val="24"/>
        </w:rPr>
      </w:pPr>
      <w:r w:rsidRPr="00DE3AC6">
        <w:rPr>
          <w:rFonts w:ascii="Sylfaen" w:hAnsi="Sylfaen"/>
          <w:sz w:val="24"/>
          <w:szCs w:val="24"/>
        </w:rPr>
        <w:t>13.</w:t>
      </w:r>
      <w:r w:rsidR="00515E6D" w:rsidRPr="00DE3AC6">
        <w:rPr>
          <w:rFonts w:ascii="Sylfaen" w:hAnsi="Sylfaen"/>
          <w:sz w:val="24"/>
          <w:szCs w:val="24"/>
        </w:rPr>
        <w:tab/>
      </w:r>
      <w:r w:rsidRPr="00DE3AC6">
        <w:rPr>
          <w:rFonts w:ascii="Sylfaen" w:hAnsi="Sylfaen"/>
          <w:sz w:val="24"/>
          <w:szCs w:val="24"/>
        </w:rPr>
        <w:t xml:space="preserve">Այն դեպքում, երբ ցանկում </w:t>
      </w:r>
      <w:r w:rsidR="006B5B40" w:rsidRPr="00DE3AC6">
        <w:rPr>
          <w:rFonts w:ascii="Sylfaen" w:hAnsi="Sylfaen"/>
          <w:sz w:val="24"/>
          <w:szCs w:val="24"/>
        </w:rPr>
        <w:t xml:space="preserve">ընդգրկված </w:t>
      </w:r>
      <w:r w:rsidRPr="00DE3AC6">
        <w:rPr>
          <w:rFonts w:ascii="Sylfaen" w:hAnsi="Sylfaen"/>
          <w:sz w:val="24"/>
          <w:szCs w:val="24"/>
        </w:rPr>
        <w:t xml:space="preserve">ստանդարտի փոխարեն ներառվում է նոր ստանդարտ, որի կիրառման համար անհրաժեշտ է անցումային ժամանակահատված, որի ընթացքում կարող են կիրառվել ինչպես փոխարինված, այնպես էլ </w:t>
      </w:r>
      <w:r w:rsidR="009F58E6" w:rsidRPr="00DE3AC6">
        <w:rPr>
          <w:rFonts w:ascii="Sylfaen" w:hAnsi="Sylfaen"/>
          <w:sz w:val="24"/>
          <w:szCs w:val="24"/>
        </w:rPr>
        <w:t xml:space="preserve">դրան </w:t>
      </w:r>
      <w:r w:rsidRPr="00DE3AC6">
        <w:rPr>
          <w:rFonts w:ascii="Sylfaen" w:hAnsi="Sylfaen"/>
          <w:sz w:val="24"/>
          <w:szCs w:val="24"/>
        </w:rPr>
        <w:t>փոխարինող ստանդարտը, համապատասխան տեղեկատվությունը ներկայացվում է ցանկում։</w:t>
      </w:r>
    </w:p>
    <w:p w:rsidR="00743425" w:rsidRPr="00DE3AC6" w:rsidRDefault="00F53DEE" w:rsidP="00295C92">
      <w:pPr>
        <w:pStyle w:val="Bodytext20"/>
        <w:shd w:val="clear" w:color="auto" w:fill="auto"/>
        <w:spacing w:before="0" w:after="160" w:line="360" w:lineRule="auto"/>
        <w:ind w:left="20" w:firstLine="547"/>
        <w:rPr>
          <w:rFonts w:ascii="Sylfaen" w:hAnsi="Sylfaen"/>
          <w:sz w:val="24"/>
          <w:szCs w:val="24"/>
        </w:rPr>
      </w:pPr>
      <w:r w:rsidRPr="00DE3AC6">
        <w:rPr>
          <w:rFonts w:ascii="Sylfaen" w:hAnsi="Sylfaen"/>
          <w:sz w:val="24"/>
          <w:szCs w:val="24"/>
        </w:rPr>
        <w:t xml:space="preserve">Այն դեպքում, երբ ցանկում </w:t>
      </w:r>
      <w:r w:rsidR="006B5B40" w:rsidRPr="00DE3AC6">
        <w:rPr>
          <w:rFonts w:ascii="Sylfaen" w:hAnsi="Sylfaen"/>
          <w:sz w:val="24"/>
          <w:szCs w:val="24"/>
        </w:rPr>
        <w:t>ընդգրկված</w:t>
      </w:r>
      <w:r w:rsidRPr="00DE3AC6">
        <w:rPr>
          <w:rFonts w:ascii="Sylfaen" w:hAnsi="Sylfaen"/>
          <w:sz w:val="24"/>
          <w:szCs w:val="24"/>
        </w:rPr>
        <w:t xml:space="preserve">՝ հետազոտությունների (փորձարկումների) եւ չափումների մեթոդիկայի փոխարեն ներառվում է ստանդարտ, որի կիրառման համար անհրաժեշտ է անցումային ժամանակահատված, որի ընթացքում կարող են կիրառվել ինչպես </w:t>
      </w:r>
      <w:r w:rsidRPr="00DE3AC6">
        <w:rPr>
          <w:rFonts w:ascii="Sylfaen" w:hAnsi="Sylfaen"/>
          <w:sz w:val="24"/>
          <w:szCs w:val="24"/>
        </w:rPr>
        <w:lastRenderedPageBreak/>
        <w:t>հետազոտությունների (փորձարկումների) եւ չափումների փոխարինված մեթ</w:t>
      </w:r>
      <w:r w:rsidR="003319E2" w:rsidRPr="00DE3AC6">
        <w:rPr>
          <w:rFonts w:ascii="Sylfaen" w:hAnsi="Sylfaen"/>
          <w:sz w:val="24"/>
          <w:szCs w:val="24"/>
        </w:rPr>
        <w:t>ո</w:t>
      </w:r>
      <w:r w:rsidRPr="00DE3AC6">
        <w:rPr>
          <w:rFonts w:ascii="Sylfaen" w:hAnsi="Sylfaen"/>
          <w:sz w:val="24"/>
          <w:szCs w:val="24"/>
        </w:rPr>
        <w:t>դիկան, այնպես էլ դրան փոխարինող ստանդարտը, համապատասխան տեղեկատվությունը ներկայացվում է ցանկում։</w:t>
      </w:r>
    </w:p>
    <w:p w:rsidR="00743425" w:rsidRPr="00DE3AC6" w:rsidRDefault="00F53DEE" w:rsidP="00515E6D">
      <w:pPr>
        <w:pStyle w:val="Bodytext20"/>
        <w:shd w:val="clear" w:color="auto" w:fill="auto"/>
        <w:tabs>
          <w:tab w:val="left" w:pos="1134"/>
        </w:tabs>
        <w:spacing w:before="0" w:after="160" w:line="360" w:lineRule="auto"/>
        <w:ind w:left="20" w:firstLine="547"/>
        <w:rPr>
          <w:rFonts w:ascii="Sylfaen" w:hAnsi="Sylfaen"/>
          <w:sz w:val="24"/>
          <w:szCs w:val="24"/>
        </w:rPr>
      </w:pPr>
      <w:r w:rsidRPr="00DE3AC6">
        <w:rPr>
          <w:rFonts w:ascii="Sylfaen" w:hAnsi="Sylfaen"/>
          <w:sz w:val="24"/>
          <w:szCs w:val="24"/>
        </w:rPr>
        <w:t>14.</w:t>
      </w:r>
      <w:r w:rsidR="00515E6D" w:rsidRPr="00DE3AC6">
        <w:rPr>
          <w:rFonts w:ascii="Sylfaen" w:hAnsi="Sylfaen"/>
          <w:sz w:val="24"/>
          <w:szCs w:val="24"/>
        </w:rPr>
        <w:tab/>
      </w:r>
      <w:r w:rsidRPr="00DE3AC6">
        <w:rPr>
          <w:rFonts w:ascii="Sylfaen" w:hAnsi="Sylfaen"/>
          <w:sz w:val="24"/>
          <w:szCs w:val="24"/>
        </w:rPr>
        <w:t xml:space="preserve">Սույն </w:t>
      </w:r>
      <w:r w:rsidR="00EE0EE4" w:rsidRPr="00DE3AC6">
        <w:rPr>
          <w:rFonts w:ascii="Sylfaen" w:hAnsi="Sylfaen"/>
          <w:sz w:val="24"/>
          <w:szCs w:val="24"/>
        </w:rPr>
        <w:t>կ</w:t>
      </w:r>
      <w:r w:rsidRPr="00DE3AC6">
        <w:rPr>
          <w:rFonts w:ascii="Sylfaen" w:hAnsi="Sylfaen"/>
          <w:sz w:val="24"/>
          <w:szCs w:val="24"/>
        </w:rPr>
        <w:t>արգն ուժի մեջ մտնելու օրվանից հաստատված միջպետական ստանդարտներն ընդգրկվում են ցանկում՝ բոլոր անդամ պետությունների</w:t>
      </w:r>
      <w:r w:rsidR="008F070F" w:rsidRPr="00DE3AC6">
        <w:rPr>
          <w:rFonts w:ascii="Sylfaen" w:hAnsi="Sylfaen"/>
          <w:sz w:val="24"/>
          <w:szCs w:val="24"/>
        </w:rPr>
        <w:t>՝</w:t>
      </w:r>
      <w:r w:rsidRPr="00DE3AC6">
        <w:rPr>
          <w:rFonts w:ascii="Sylfaen" w:hAnsi="Sylfaen"/>
          <w:sz w:val="24"/>
          <w:szCs w:val="24"/>
        </w:rPr>
        <w:t xml:space="preserve"> դրանց միանալու պայմանով։</w:t>
      </w:r>
    </w:p>
    <w:p w:rsidR="00743425" w:rsidRPr="00DE3AC6" w:rsidRDefault="00F53DEE" w:rsidP="00515E6D">
      <w:pPr>
        <w:pStyle w:val="Bodytext20"/>
        <w:shd w:val="clear" w:color="auto" w:fill="auto"/>
        <w:tabs>
          <w:tab w:val="left" w:pos="1134"/>
        </w:tabs>
        <w:spacing w:before="0" w:after="160" w:line="360" w:lineRule="auto"/>
        <w:ind w:left="20" w:firstLine="547"/>
        <w:rPr>
          <w:rFonts w:ascii="Sylfaen" w:hAnsi="Sylfaen"/>
          <w:sz w:val="24"/>
          <w:szCs w:val="24"/>
        </w:rPr>
      </w:pPr>
      <w:r w:rsidRPr="00DE3AC6">
        <w:rPr>
          <w:rFonts w:ascii="Sylfaen" w:hAnsi="Sylfaen"/>
          <w:sz w:val="24"/>
          <w:szCs w:val="24"/>
        </w:rPr>
        <w:t>15.</w:t>
      </w:r>
      <w:r w:rsidR="00515E6D" w:rsidRPr="00DE3AC6">
        <w:rPr>
          <w:rFonts w:ascii="Sylfaen" w:hAnsi="Sylfaen"/>
          <w:sz w:val="24"/>
          <w:szCs w:val="24"/>
        </w:rPr>
        <w:tab/>
      </w:r>
      <w:r w:rsidRPr="00DE3AC6">
        <w:rPr>
          <w:rFonts w:ascii="Sylfaen" w:hAnsi="Sylfaen"/>
          <w:sz w:val="24"/>
          <w:szCs w:val="24"/>
        </w:rPr>
        <w:t xml:space="preserve">Անդամ պետությունների ստանդարտացման հարցերով լիազորված մարմինները տեղեկացնում են Հանձնաժողովին </w:t>
      </w:r>
      <w:r w:rsidR="001B62E6" w:rsidRPr="00DE3AC6">
        <w:rPr>
          <w:rFonts w:ascii="Sylfaen" w:hAnsi="Sylfaen"/>
          <w:sz w:val="24"/>
          <w:szCs w:val="24"/>
        </w:rPr>
        <w:t xml:space="preserve">իրենց պետության տարածքում </w:t>
      </w:r>
      <w:r w:rsidRPr="00DE3AC6">
        <w:rPr>
          <w:rFonts w:ascii="Sylfaen" w:hAnsi="Sylfaen"/>
          <w:sz w:val="24"/>
          <w:szCs w:val="24"/>
        </w:rPr>
        <w:t>ցանկում</w:t>
      </w:r>
      <w:r w:rsidR="00295C92" w:rsidRPr="00DE3AC6">
        <w:rPr>
          <w:rFonts w:ascii="Sylfaen" w:hAnsi="Sylfaen"/>
          <w:sz w:val="24"/>
          <w:szCs w:val="24"/>
        </w:rPr>
        <w:t xml:space="preserve"> </w:t>
      </w:r>
      <w:r w:rsidR="001B62E6" w:rsidRPr="00DE3AC6">
        <w:rPr>
          <w:rFonts w:ascii="Sylfaen" w:hAnsi="Sylfaen"/>
          <w:sz w:val="24"/>
          <w:szCs w:val="24"/>
        </w:rPr>
        <w:t xml:space="preserve">ներառված </w:t>
      </w:r>
      <w:r w:rsidRPr="00DE3AC6">
        <w:rPr>
          <w:rFonts w:ascii="Sylfaen" w:hAnsi="Sylfaen"/>
          <w:sz w:val="24"/>
          <w:szCs w:val="24"/>
        </w:rPr>
        <w:t xml:space="preserve">միջպետական </w:t>
      </w:r>
      <w:r w:rsidR="00295C92" w:rsidRPr="00DE3AC6">
        <w:rPr>
          <w:rFonts w:ascii="Sylfaen" w:hAnsi="Sylfaen"/>
          <w:sz w:val="24"/>
          <w:szCs w:val="24"/>
        </w:rPr>
        <w:t>եւ</w:t>
      </w:r>
      <w:r w:rsidRPr="00DE3AC6">
        <w:rPr>
          <w:rFonts w:ascii="Sylfaen" w:hAnsi="Sylfaen"/>
          <w:sz w:val="24"/>
          <w:szCs w:val="24"/>
        </w:rPr>
        <w:t xml:space="preserve"> ազգային (պետական) ստանդարտների</w:t>
      </w:r>
      <w:r w:rsidR="001B62E6" w:rsidRPr="00DE3AC6">
        <w:rPr>
          <w:rFonts w:ascii="Sylfaen" w:hAnsi="Sylfaen"/>
          <w:sz w:val="24"/>
          <w:szCs w:val="24"/>
        </w:rPr>
        <w:t xml:space="preserve"> թվից</w:t>
      </w:r>
      <w:r w:rsidRPr="00DE3AC6">
        <w:rPr>
          <w:rFonts w:ascii="Sylfaen" w:hAnsi="Sylfaen"/>
          <w:sz w:val="24"/>
          <w:szCs w:val="24"/>
        </w:rPr>
        <w:t xml:space="preserve"> </w:t>
      </w:r>
      <w:r w:rsidR="001B62E6" w:rsidRPr="00DE3AC6">
        <w:rPr>
          <w:rFonts w:ascii="Sylfaen" w:hAnsi="Sylfaen"/>
          <w:sz w:val="24"/>
          <w:szCs w:val="24"/>
        </w:rPr>
        <w:t xml:space="preserve">գործող ստանդարտների </w:t>
      </w:r>
      <w:r w:rsidRPr="00DE3AC6">
        <w:rPr>
          <w:rFonts w:ascii="Sylfaen" w:hAnsi="Sylfaen"/>
          <w:sz w:val="24"/>
          <w:szCs w:val="24"/>
        </w:rPr>
        <w:t>գործողությունը դադարեցնելու մասին։</w:t>
      </w:r>
    </w:p>
    <w:p w:rsidR="00515E6D" w:rsidRPr="00DE3AC6" w:rsidRDefault="00515E6D" w:rsidP="00515E6D">
      <w:pPr>
        <w:pStyle w:val="Bodytext20"/>
        <w:shd w:val="clear" w:color="auto" w:fill="auto"/>
        <w:spacing w:before="0" w:after="160" w:line="360" w:lineRule="auto"/>
        <w:ind w:left="20" w:firstLine="547"/>
        <w:jc w:val="center"/>
        <w:rPr>
          <w:rFonts w:ascii="Sylfaen" w:hAnsi="Sylfaen"/>
          <w:sz w:val="24"/>
          <w:szCs w:val="24"/>
        </w:rPr>
      </w:pPr>
      <w:r w:rsidRPr="00DE3AC6">
        <w:rPr>
          <w:rFonts w:ascii="Sylfaen" w:hAnsi="Sylfaen"/>
          <w:sz w:val="24"/>
          <w:szCs w:val="24"/>
        </w:rPr>
        <w:t>_______________</w:t>
      </w:r>
    </w:p>
    <w:p w:rsidR="00515E6D" w:rsidRPr="00DE3AC6" w:rsidRDefault="00515E6D" w:rsidP="00295C92">
      <w:pPr>
        <w:pStyle w:val="Bodytext20"/>
        <w:shd w:val="clear" w:color="auto" w:fill="auto"/>
        <w:spacing w:before="0" w:after="160" w:line="360" w:lineRule="auto"/>
        <w:ind w:left="20" w:firstLine="547"/>
        <w:rPr>
          <w:rFonts w:ascii="Sylfaen" w:hAnsi="Sylfaen"/>
          <w:sz w:val="24"/>
          <w:szCs w:val="24"/>
        </w:rPr>
      </w:pPr>
    </w:p>
    <w:p w:rsidR="00515E6D" w:rsidRPr="00DE3AC6" w:rsidRDefault="00515E6D" w:rsidP="00295C92">
      <w:pPr>
        <w:pStyle w:val="Bodytext20"/>
        <w:shd w:val="clear" w:color="auto" w:fill="auto"/>
        <w:spacing w:before="0" w:after="160" w:line="360" w:lineRule="auto"/>
        <w:ind w:left="20" w:firstLine="547"/>
        <w:rPr>
          <w:rFonts w:ascii="Sylfaen" w:hAnsi="Sylfaen"/>
          <w:sz w:val="24"/>
          <w:szCs w:val="24"/>
        </w:rPr>
        <w:sectPr w:rsidR="00515E6D" w:rsidRPr="00DE3AC6" w:rsidSect="00DF69DB">
          <w:headerReference w:type="default" r:id="rId8"/>
          <w:headerReference w:type="first" r:id="rId9"/>
          <w:type w:val="nextColumn"/>
          <w:pgSz w:w="11907" w:h="16840" w:code="9"/>
          <w:pgMar w:top="1418" w:right="1418" w:bottom="1418" w:left="1418" w:header="0" w:footer="645" w:gutter="0"/>
          <w:pgNumType w:start="1"/>
          <w:cols w:space="720"/>
          <w:noEndnote/>
          <w:titlePg/>
          <w:docGrid w:linePitch="360"/>
        </w:sectPr>
      </w:pPr>
    </w:p>
    <w:p w:rsidR="00E51241" w:rsidRPr="00DE3AC6" w:rsidRDefault="00F53DEE" w:rsidP="00317587">
      <w:pPr>
        <w:pStyle w:val="Headerorfooter0"/>
        <w:shd w:val="clear" w:color="auto" w:fill="auto"/>
        <w:spacing w:after="160" w:line="360" w:lineRule="auto"/>
        <w:ind w:left="7088"/>
        <w:jc w:val="center"/>
        <w:rPr>
          <w:rFonts w:ascii="Sylfaen" w:hAnsi="Sylfaen"/>
          <w:sz w:val="24"/>
          <w:szCs w:val="24"/>
        </w:rPr>
      </w:pPr>
      <w:r w:rsidRPr="00DE3AC6">
        <w:rPr>
          <w:rStyle w:val="Bodytext2"/>
          <w:rFonts w:ascii="Sylfaen" w:hAnsi="Sylfaen"/>
          <w:sz w:val="24"/>
          <w:szCs w:val="24"/>
        </w:rPr>
        <w:lastRenderedPageBreak/>
        <w:t>ՀԱՎԵԼՎԱԾ ԹԻՎ 1</w:t>
      </w:r>
    </w:p>
    <w:p w:rsidR="00743425" w:rsidRPr="00DE3AC6" w:rsidRDefault="00F53DEE" w:rsidP="00317587">
      <w:pPr>
        <w:pStyle w:val="Bodytext20"/>
        <w:shd w:val="clear" w:color="auto" w:fill="auto"/>
        <w:spacing w:before="0" w:after="160" w:line="360" w:lineRule="auto"/>
        <w:ind w:left="7088"/>
        <w:jc w:val="center"/>
        <w:rPr>
          <w:rFonts w:ascii="Sylfaen" w:hAnsi="Sylfaen"/>
          <w:sz w:val="24"/>
          <w:szCs w:val="24"/>
        </w:rPr>
      </w:pPr>
      <w:r w:rsidRPr="00DE3AC6">
        <w:rPr>
          <w:rFonts w:ascii="Sylfaen" w:hAnsi="Sylfaen"/>
          <w:sz w:val="24"/>
          <w:szCs w:val="24"/>
        </w:rPr>
        <w:t xml:space="preserve">այն ստանդարտների ցանկի ձեւավորման կարգի, որոնց կիրառման արդյունքում կամավոր հիմունքով ամբողջությամբ կամ մասնակիորեն ապահովվում է Բժշկական արտադրատեսակների անվտանգության </w:t>
      </w:r>
      <w:r w:rsidR="00295C92" w:rsidRPr="00DE3AC6">
        <w:rPr>
          <w:rFonts w:ascii="Sylfaen" w:hAnsi="Sylfaen"/>
          <w:sz w:val="24"/>
          <w:szCs w:val="24"/>
        </w:rPr>
        <w:t>եւ</w:t>
      </w:r>
      <w:r w:rsidRPr="00DE3AC6">
        <w:rPr>
          <w:rFonts w:ascii="Sylfaen" w:hAnsi="Sylfaen"/>
          <w:sz w:val="24"/>
          <w:szCs w:val="24"/>
        </w:rPr>
        <w:t xml:space="preserve"> արդյունավետության ընդհանուր պահանջներին, դրանց մակնշմանը </w:t>
      </w:r>
      <w:r w:rsidR="00295C92" w:rsidRPr="00DE3AC6">
        <w:rPr>
          <w:rFonts w:ascii="Sylfaen" w:hAnsi="Sylfaen"/>
          <w:sz w:val="24"/>
          <w:szCs w:val="24"/>
        </w:rPr>
        <w:t>եւ</w:t>
      </w:r>
      <w:r w:rsidRPr="00DE3AC6">
        <w:rPr>
          <w:rFonts w:ascii="Sylfaen" w:hAnsi="Sylfaen"/>
          <w:sz w:val="24"/>
          <w:szCs w:val="24"/>
        </w:rPr>
        <w:t xml:space="preserve"> շահագործման փաստաթղթերին ներկայացվող պահանջներին բժշկական արտադրատեսակների համապատասխանության պահպանումը</w:t>
      </w:r>
    </w:p>
    <w:p w:rsidR="004B6CCD" w:rsidRPr="00DE3AC6" w:rsidRDefault="004B6CCD" w:rsidP="00317587">
      <w:pPr>
        <w:pStyle w:val="Bodytext20"/>
        <w:shd w:val="clear" w:color="auto" w:fill="auto"/>
        <w:spacing w:before="0" w:after="0" w:line="240" w:lineRule="auto"/>
        <w:ind w:left="23"/>
        <w:jc w:val="right"/>
        <w:rPr>
          <w:rFonts w:ascii="Sylfaen" w:hAnsi="Sylfaen"/>
          <w:sz w:val="24"/>
          <w:szCs w:val="24"/>
        </w:rPr>
      </w:pPr>
    </w:p>
    <w:p w:rsidR="00743425" w:rsidRPr="00DE3AC6" w:rsidRDefault="00F53DEE" w:rsidP="00317587">
      <w:pPr>
        <w:pStyle w:val="Bodytext20"/>
        <w:shd w:val="clear" w:color="auto" w:fill="auto"/>
        <w:spacing w:before="0" w:after="160" w:line="360" w:lineRule="auto"/>
        <w:ind w:left="20"/>
        <w:jc w:val="right"/>
        <w:rPr>
          <w:rFonts w:ascii="Sylfaen" w:hAnsi="Sylfaen"/>
          <w:sz w:val="24"/>
          <w:szCs w:val="24"/>
        </w:rPr>
      </w:pPr>
      <w:r w:rsidRPr="00DE3AC6">
        <w:rPr>
          <w:rFonts w:ascii="Sylfaen" w:hAnsi="Sylfaen"/>
          <w:sz w:val="24"/>
          <w:szCs w:val="24"/>
        </w:rPr>
        <w:t>(ձ</w:t>
      </w:r>
      <w:r w:rsidR="00295C92" w:rsidRPr="00DE3AC6">
        <w:rPr>
          <w:rFonts w:ascii="Sylfaen" w:hAnsi="Sylfaen"/>
          <w:sz w:val="24"/>
          <w:szCs w:val="24"/>
        </w:rPr>
        <w:t>եւ</w:t>
      </w:r>
      <w:r w:rsidRPr="00DE3AC6">
        <w:rPr>
          <w:rFonts w:ascii="Sylfaen" w:hAnsi="Sylfaen"/>
          <w:sz w:val="24"/>
          <w:szCs w:val="24"/>
        </w:rPr>
        <w:t>)</w:t>
      </w:r>
    </w:p>
    <w:p w:rsidR="00743425" w:rsidRPr="00DE3AC6" w:rsidRDefault="00F53DEE" w:rsidP="00317587">
      <w:pPr>
        <w:pStyle w:val="Heading20"/>
        <w:shd w:val="clear" w:color="auto" w:fill="auto"/>
        <w:spacing w:before="0" w:after="160" w:line="360" w:lineRule="auto"/>
        <w:ind w:left="567" w:right="539"/>
        <w:jc w:val="center"/>
        <w:outlineLvl w:val="9"/>
        <w:rPr>
          <w:rFonts w:ascii="Sylfaen" w:hAnsi="Sylfaen"/>
          <w:sz w:val="24"/>
          <w:szCs w:val="24"/>
        </w:rPr>
      </w:pPr>
      <w:bookmarkStart w:id="3" w:name="bookmark4"/>
      <w:r w:rsidRPr="00DE3AC6">
        <w:rPr>
          <w:rStyle w:val="Heading2Spacing2pt"/>
          <w:rFonts w:ascii="Sylfaen" w:hAnsi="Sylfaen"/>
          <w:b/>
          <w:spacing w:val="0"/>
          <w:sz w:val="24"/>
          <w:szCs w:val="24"/>
        </w:rPr>
        <w:t>ՑԱՆԿ</w:t>
      </w:r>
      <w:bookmarkEnd w:id="3"/>
    </w:p>
    <w:p w:rsidR="00743425" w:rsidRPr="00DE3AC6" w:rsidRDefault="00F53DEE" w:rsidP="00317587">
      <w:pPr>
        <w:pStyle w:val="Bodytext30"/>
        <w:shd w:val="clear" w:color="auto" w:fill="auto"/>
        <w:spacing w:after="160" w:line="360" w:lineRule="auto"/>
        <w:ind w:left="567" w:right="539"/>
        <w:rPr>
          <w:rFonts w:ascii="Sylfaen" w:hAnsi="Sylfaen"/>
          <w:sz w:val="24"/>
          <w:szCs w:val="24"/>
        </w:rPr>
      </w:pPr>
      <w:r w:rsidRPr="00DE3AC6">
        <w:rPr>
          <w:rFonts w:ascii="Sylfaen" w:hAnsi="Sylfaen"/>
          <w:sz w:val="24"/>
          <w:szCs w:val="24"/>
        </w:rPr>
        <w:t xml:space="preserve">այն ստանդարտների, որոնց կիրառման արդյունքում կամավոր հիմունքով ամբողջությամբ կամ մասնակիորեն ապահովվում է Բժշկական արտադրատեսակների անվտանգության </w:t>
      </w:r>
      <w:r w:rsidR="00295C92" w:rsidRPr="00DE3AC6">
        <w:rPr>
          <w:rFonts w:ascii="Sylfaen" w:hAnsi="Sylfaen"/>
          <w:sz w:val="24"/>
          <w:szCs w:val="24"/>
        </w:rPr>
        <w:t>եւ</w:t>
      </w:r>
      <w:r w:rsidRPr="00DE3AC6">
        <w:rPr>
          <w:rFonts w:ascii="Sylfaen" w:hAnsi="Sylfaen"/>
          <w:sz w:val="24"/>
          <w:szCs w:val="24"/>
        </w:rPr>
        <w:t xml:space="preserve"> արդյունավետության ընդհանուր պահանջներին, դրանց մակնշմանը </w:t>
      </w:r>
      <w:r w:rsidR="00295C92" w:rsidRPr="00DE3AC6">
        <w:rPr>
          <w:rFonts w:ascii="Sylfaen" w:hAnsi="Sylfaen"/>
          <w:sz w:val="24"/>
          <w:szCs w:val="24"/>
        </w:rPr>
        <w:t>եւ</w:t>
      </w:r>
      <w:r w:rsidRPr="00DE3AC6">
        <w:rPr>
          <w:rFonts w:ascii="Sylfaen" w:hAnsi="Sylfaen"/>
          <w:sz w:val="24"/>
          <w:szCs w:val="24"/>
        </w:rPr>
        <w:t xml:space="preserve"> շահագործման փաստաթղթերին ներկայացվող պահանջներին բժշկական արտադրատեսակների համապատասխանության պահպանումը</w:t>
      </w:r>
    </w:p>
    <w:tbl>
      <w:tblPr>
        <w:tblOverlap w:val="never"/>
        <w:tblW w:w="14944" w:type="dxa"/>
        <w:jc w:val="center"/>
        <w:tblLayout w:type="fixed"/>
        <w:tblCellMar>
          <w:left w:w="10" w:type="dxa"/>
          <w:right w:w="10" w:type="dxa"/>
        </w:tblCellMar>
        <w:tblLook w:val="04A0" w:firstRow="1" w:lastRow="0" w:firstColumn="1" w:lastColumn="0" w:noHBand="0" w:noVBand="1"/>
      </w:tblPr>
      <w:tblGrid>
        <w:gridCol w:w="896"/>
        <w:gridCol w:w="1365"/>
        <w:gridCol w:w="2178"/>
        <w:gridCol w:w="2552"/>
        <w:gridCol w:w="2977"/>
        <w:gridCol w:w="2835"/>
        <w:gridCol w:w="2141"/>
      </w:tblGrid>
      <w:tr w:rsidR="00515E6D" w:rsidRPr="00DE3AC6" w:rsidTr="00317587">
        <w:trPr>
          <w:jc w:val="center"/>
        </w:trPr>
        <w:tc>
          <w:tcPr>
            <w:tcW w:w="896" w:type="dxa"/>
            <w:tcBorders>
              <w:top w:val="single" w:sz="4" w:space="0" w:color="auto"/>
              <w:left w:val="single" w:sz="4" w:space="0" w:color="auto"/>
              <w:bottom w:val="single" w:sz="4" w:space="0" w:color="auto"/>
            </w:tcBorders>
            <w:shd w:val="clear" w:color="auto" w:fill="FFFFFF"/>
          </w:tcPr>
          <w:p w:rsidR="00743425" w:rsidRPr="00DE3AC6" w:rsidRDefault="00F53DEE" w:rsidP="00515E6D">
            <w:pPr>
              <w:pStyle w:val="Bodytext20"/>
              <w:shd w:val="clear" w:color="auto" w:fill="auto"/>
              <w:spacing w:before="0" w:after="120" w:line="240" w:lineRule="auto"/>
              <w:ind w:left="20"/>
              <w:jc w:val="center"/>
              <w:rPr>
                <w:rFonts w:ascii="Sylfaen" w:hAnsi="Sylfaen"/>
                <w:sz w:val="20"/>
                <w:szCs w:val="20"/>
              </w:rPr>
            </w:pPr>
            <w:r w:rsidRPr="00DE3AC6">
              <w:rPr>
                <w:rStyle w:val="Bodytext212pt"/>
                <w:rFonts w:ascii="Sylfaen" w:hAnsi="Sylfaen"/>
                <w:sz w:val="20"/>
                <w:szCs w:val="20"/>
              </w:rPr>
              <w:t>Թիվ</w:t>
            </w:r>
          </w:p>
          <w:p w:rsidR="00743425" w:rsidRPr="00DE3AC6" w:rsidRDefault="00F53DEE" w:rsidP="00515E6D">
            <w:pPr>
              <w:pStyle w:val="Bodytext20"/>
              <w:shd w:val="clear" w:color="auto" w:fill="auto"/>
              <w:spacing w:before="0" w:after="120" w:line="240" w:lineRule="auto"/>
              <w:ind w:left="20"/>
              <w:jc w:val="center"/>
              <w:rPr>
                <w:rFonts w:ascii="Sylfaen" w:hAnsi="Sylfaen"/>
                <w:sz w:val="20"/>
                <w:szCs w:val="20"/>
              </w:rPr>
            </w:pPr>
            <w:r w:rsidRPr="00DE3AC6">
              <w:rPr>
                <w:rStyle w:val="Bodytext212pt"/>
                <w:rFonts w:ascii="Sylfaen" w:hAnsi="Sylfaen"/>
                <w:sz w:val="20"/>
                <w:szCs w:val="20"/>
              </w:rPr>
              <w:t>ը/կ</w:t>
            </w:r>
          </w:p>
        </w:tc>
        <w:tc>
          <w:tcPr>
            <w:tcW w:w="1365" w:type="dxa"/>
            <w:tcBorders>
              <w:top w:val="single" w:sz="4" w:space="0" w:color="auto"/>
              <w:left w:val="single" w:sz="4" w:space="0" w:color="auto"/>
              <w:bottom w:val="single" w:sz="4" w:space="0" w:color="auto"/>
            </w:tcBorders>
            <w:shd w:val="clear" w:color="auto" w:fill="FFFFFF"/>
          </w:tcPr>
          <w:p w:rsidR="00743425" w:rsidRPr="00DE3AC6" w:rsidRDefault="00F53DEE" w:rsidP="00515E6D">
            <w:pPr>
              <w:pStyle w:val="Bodytext20"/>
              <w:shd w:val="clear" w:color="auto" w:fill="auto"/>
              <w:spacing w:before="0" w:after="120" w:line="240" w:lineRule="auto"/>
              <w:ind w:left="20"/>
              <w:jc w:val="center"/>
              <w:rPr>
                <w:rFonts w:ascii="Sylfaen" w:hAnsi="Sylfaen"/>
                <w:sz w:val="20"/>
                <w:szCs w:val="20"/>
                <w:lang w:val="en-US"/>
              </w:rPr>
            </w:pPr>
            <w:r w:rsidRPr="00DE3AC6">
              <w:rPr>
                <w:rStyle w:val="Bodytext212pt"/>
                <w:rFonts w:ascii="Sylfaen" w:hAnsi="Sylfaen"/>
                <w:sz w:val="20"/>
                <w:szCs w:val="20"/>
              </w:rPr>
              <w:t>Ստանդարտի նշագիրը</w:t>
            </w:r>
          </w:p>
        </w:tc>
        <w:tc>
          <w:tcPr>
            <w:tcW w:w="2178" w:type="dxa"/>
            <w:tcBorders>
              <w:top w:val="single" w:sz="4" w:space="0" w:color="auto"/>
              <w:left w:val="single" w:sz="4" w:space="0" w:color="auto"/>
              <w:bottom w:val="single" w:sz="4" w:space="0" w:color="auto"/>
            </w:tcBorders>
            <w:shd w:val="clear" w:color="auto" w:fill="FFFFFF"/>
          </w:tcPr>
          <w:p w:rsidR="00743425" w:rsidRPr="00DE3AC6" w:rsidRDefault="00F53DEE" w:rsidP="00515E6D">
            <w:pPr>
              <w:pStyle w:val="Bodytext20"/>
              <w:shd w:val="clear" w:color="auto" w:fill="auto"/>
              <w:spacing w:before="0" w:after="120" w:line="240" w:lineRule="auto"/>
              <w:ind w:left="20"/>
              <w:jc w:val="center"/>
              <w:rPr>
                <w:rFonts w:ascii="Sylfaen" w:hAnsi="Sylfaen"/>
                <w:sz w:val="20"/>
                <w:szCs w:val="20"/>
              </w:rPr>
            </w:pPr>
            <w:r w:rsidRPr="00DE3AC6">
              <w:rPr>
                <w:rStyle w:val="Bodytext212pt"/>
                <w:rFonts w:ascii="Sylfaen" w:hAnsi="Sylfaen"/>
                <w:sz w:val="20"/>
                <w:szCs w:val="20"/>
              </w:rPr>
              <w:t>Ստանդարտի անվանումը</w:t>
            </w:r>
          </w:p>
        </w:tc>
        <w:tc>
          <w:tcPr>
            <w:tcW w:w="2552" w:type="dxa"/>
            <w:tcBorders>
              <w:top w:val="single" w:sz="4" w:space="0" w:color="auto"/>
              <w:left w:val="single" w:sz="4" w:space="0" w:color="auto"/>
              <w:bottom w:val="single" w:sz="4" w:space="0" w:color="auto"/>
            </w:tcBorders>
            <w:shd w:val="clear" w:color="auto" w:fill="FFFFFF"/>
          </w:tcPr>
          <w:p w:rsidR="00891942" w:rsidRPr="00DE3AC6" w:rsidRDefault="00F53DEE" w:rsidP="004B6CCD">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t>Ստանդարտի կիրառում</w:t>
            </w:r>
            <w:r w:rsidR="006D716A" w:rsidRPr="00DE3AC6">
              <w:rPr>
                <w:rStyle w:val="Bodytext212pt"/>
                <w:rFonts w:ascii="Sylfaen" w:hAnsi="Sylfaen"/>
                <w:sz w:val="20"/>
                <w:szCs w:val="20"/>
              </w:rPr>
              <w:t>ն</w:t>
            </w:r>
            <w:r w:rsidRPr="00DE3AC6">
              <w:rPr>
                <w:rStyle w:val="Bodytext212pt"/>
                <w:rFonts w:ascii="Sylfaen" w:hAnsi="Sylfaen"/>
                <w:sz w:val="20"/>
                <w:szCs w:val="20"/>
              </w:rPr>
              <w:t xml:space="preserve"> սկսելու ամսաթիվը</w:t>
            </w:r>
          </w:p>
        </w:tc>
        <w:tc>
          <w:tcPr>
            <w:tcW w:w="2977" w:type="dxa"/>
            <w:tcBorders>
              <w:top w:val="single" w:sz="4" w:space="0" w:color="auto"/>
              <w:left w:val="single" w:sz="4" w:space="0" w:color="auto"/>
              <w:bottom w:val="single" w:sz="4" w:space="0" w:color="auto"/>
            </w:tcBorders>
            <w:shd w:val="clear" w:color="auto" w:fill="FFFFFF"/>
          </w:tcPr>
          <w:p w:rsidR="00743425" w:rsidRPr="00DE3AC6" w:rsidRDefault="00F53DEE" w:rsidP="00515E6D">
            <w:pPr>
              <w:pStyle w:val="Bodytext20"/>
              <w:shd w:val="clear" w:color="auto" w:fill="auto"/>
              <w:spacing w:before="0" w:after="120" w:line="240" w:lineRule="auto"/>
              <w:ind w:left="20"/>
              <w:jc w:val="center"/>
              <w:rPr>
                <w:rFonts w:ascii="Sylfaen" w:hAnsi="Sylfaen"/>
                <w:sz w:val="20"/>
                <w:szCs w:val="20"/>
              </w:rPr>
            </w:pPr>
            <w:r w:rsidRPr="00DE3AC6">
              <w:rPr>
                <w:rStyle w:val="Bodytext212pt"/>
                <w:rFonts w:ascii="Sylfaen" w:hAnsi="Sylfaen"/>
                <w:sz w:val="20"/>
                <w:szCs w:val="20"/>
              </w:rPr>
              <w:t>Ստանդարտի կիրառումը դադարեցնելու ամսաթիվը</w:t>
            </w:r>
          </w:p>
        </w:tc>
        <w:tc>
          <w:tcPr>
            <w:tcW w:w="2835" w:type="dxa"/>
            <w:tcBorders>
              <w:top w:val="single" w:sz="4" w:space="0" w:color="auto"/>
              <w:left w:val="single" w:sz="4" w:space="0" w:color="auto"/>
              <w:bottom w:val="single" w:sz="4" w:space="0" w:color="auto"/>
            </w:tcBorders>
            <w:shd w:val="clear" w:color="auto" w:fill="FFFFFF"/>
          </w:tcPr>
          <w:p w:rsidR="00743425" w:rsidRPr="00DE3AC6" w:rsidRDefault="00F53DEE" w:rsidP="00515E6D">
            <w:pPr>
              <w:pStyle w:val="Bodytext20"/>
              <w:shd w:val="clear" w:color="auto" w:fill="auto"/>
              <w:spacing w:before="0" w:after="120" w:line="240" w:lineRule="auto"/>
              <w:ind w:left="20"/>
              <w:jc w:val="center"/>
              <w:rPr>
                <w:rFonts w:ascii="Sylfaen" w:hAnsi="Sylfaen"/>
                <w:sz w:val="20"/>
                <w:szCs w:val="20"/>
              </w:rPr>
            </w:pPr>
            <w:r w:rsidRPr="00DE3AC6">
              <w:rPr>
                <w:rStyle w:val="Bodytext212pt"/>
                <w:rFonts w:ascii="Sylfaen" w:hAnsi="Sylfaen"/>
                <w:sz w:val="20"/>
                <w:szCs w:val="20"/>
              </w:rPr>
              <w:t>Ստանդարտի կիրառվող կառուցվածքային տարրերը</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743425" w:rsidRPr="00DE3AC6" w:rsidRDefault="00F53DEE" w:rsidP="00515E6D">
            <w:pPr>
              <w:pStyle w:val="Bodytext20"/>
              <w:shd w:val="clear" w:color="auto" w:fill="auto"/>
              <w:spacing w:before="0" w:after="120" w:line="240" w:lineRule="auto"/>
              <w:ind w:left="20"/>
              <w:jc w:val="center"/>
              <w:rPr>
                <w:rFonts w:ascii="Sylfaen" w:hAnsi="Sylfaen"/>
                <w:sz w:val="20"/>
                <w:szCs w:val="20"/>
              </w:rPr>
            </w:pPr>
            <w:r w:rsidRPr="00DE3AC6">
              <w:rPr>
                <w:rStyle w:val="Bodytext212pt"/>
                <w:rFonts w:ascii="Sylfaen" w:hAnsi="Sylfaen"/>
                <w:sz w:val="20"/>
                <w:szCs w:val="20"/>
              </w:rPr>
              <w:t>Ընդհանուր պահանջների կետ</w:t>
            </w:r>
          </w:p>
        </w:tc>
      </w:tr>
      <w:tr w:rsidR="00515E6D" w:rsidRPr="00DE3AC6" w:rsidTr="00317587">
        <w:trPr>
          <w:jc w:val="center"/>
        </w:trPr>
        <w:tc>
          <w:tcPr>
            <w:tcW w:w="896" w:type="dxa"/>
            <w:tcBorders>
              <w:top w:val="single" w:sz="4" w:space="0" w:color="auto"/>
              <w:left w:val="single" w:sz="4" w:space="0" w:color="auto"/>
              <w:bottom w:val="single" w:sz="4" w:space="0" w:color="auto"/>
            </w:tcBorders>
            <w:shd w:val="clear" w:color="auto" w:fill="FFFFFF"/>
          </w:tcPr>
          <w:p w:rsidR="00515232" w:rsidRPr="00DE3AC6" w:rsidRDefault="00F53DEE" w:rsidP="00515E6D">
            <w:pPr>
              <w:pStyle w:val="Bodytext20"/>
              <w:shd w:val="clear" w:color="auto" w:fill="auto"/>
              <w:spacing w:before="0" w:after="120" w:line="240" w:lineRule="auto"/>
              <w:ind w:left="20"/>
              <w:jc w:val="center"/>
              <w:rPr>
                <w:rStyle w:val="Bodytext212pt"/>
                <w:rFonts w:ascii="Sylfaen" w:hAnsi="Sylfaen"/>
                <w:sz w:val="20"/>
                <w:szCs w:val="20"/>
              </w:rPr>
            </w:pPr>
            <w:r w:rsidRPr="00DE3AC6">
              <w:rPr>
                <w:rStyle w:val="Bodytext212pt"/>
                <w:rFonts w:ascii="Sylfaen" w:hAnsi="Sylfaen"/>
                <w:sz w:val="20"/>
                <w:szCs w:val="20"/>
              </w:rPr>
              <w:lastRenderedPageBreak/>
              <w:t>1</w:t>
            </w:r>
          </w:p>
        </w:tc>
        <w:tc>
          <w:tcPr>
            <w:tcW w:w="1365" w:type="dxa"/>
            <w:tcBorders>
              <w:top w:val="single" w:sz="4" w:space="0" w:color="auto"/>
              <w:left w:val="single" w:sz="4" w:space="0" w:color="auto"/>
              <w:bottom w:val="single" w:sz="4" w:space="0" w:color="auto"/>
            </w:tcBorders>
            <w:shd w:val="clear" w:color="auto" w:fill="FFFFFF"/>
          </w:tcPr>
          <w:p w:rsidR="00515232" w:rsidRPr="00DE3AC6" w:rsidRDefault="00F53DEE" w:rsidP="00515E6D">
            <w:pPr>
              <w:pStyle w:val="Bodytext20"/>
              <w:shd w:val="clear" w:color="auto" w:fill="auto"/>
              <w:spacing w:before="0" w:after="120" w:line="240" w:lineRule="auto"/>
              <w:ind w:left="20"/>
              <w:jc w:val="center"/>
              <w:rPr>
                <w:rStyle w:val="Bodytext212pt"/>
                <w:rFonts w:ascii="Sylfaen" w:hAnsi="Sylfaen"/>
                <w:sz w:val="20"/>
                <w:szCs w:val="20"/>
              </w:rPr>
            </w:pPr>
            <w:r w:rsidRPr="00DE3AC6">
              <w:rPr>
                <w:rStyle w:val="Bodytext212pt"/>
                <w:rFonts w:ascii="Sylfaen" w:hAnsi="Sylfaen"/>
                <w:sz w:val="20"/>
                <w:szCs w:val="20"/>
              </w:rPr>
              <w:t>2</w:t>
            </w:r>
          </w:p>
        </w:tc>
        <w:tc>
          <w:tcPr>
            <w:tcW w:w="2178" w:type="dxa"/>
            <w:tcBorders>
              <w:top w:val="single" w:sz="4" w:space="0" w:color="auto"/>
              <w:left w:val="single" w:sz="4" w:space="0" w:color="auto"/>
              <w:bottom w:val="single" w:sz="4" w:space="0" w:color="auto"/>
            </w:tcBorders>
            <w:shd w:val="clear" w:color="auto" w:fill="FFFFFF"/>
          </w:tcPr>
          <w:p w:rsidR="00515232" w:rsidRPr="00DE3AC6" w:rsidRDefault="00F53DEE" w:rsidP="00515E6D">
            <w:pPr>
              <w:pStyle w:val="Bodytext20"/>
              <w:shd w:val="clear" w:color="auto" w:fill="auto"/>
              <w:spacing w:before="0" w:after="120" w:line="240" w:lineRule="auto"/>
              <w:ind w:left="20"/>
              <w:jc w:val="center"/>
              <w:rPr>
                <w:rStyle w:val="Bodytext212pt"/>
                <w:rFonts w:ascii="Sylfaen" w:hAnsi="Sylfaen"/>
                <w:sz w:val="20"/>
                <w:szCs w:val="20"/>
              </w:rPr>
            </w:pPr>
            <w:r w:rsidRPr="00DE3AC6">
              <w:rPr>
                <w:rStyle w:val="Bodytext212pt"/>
                <w:rFonts w:ascii="Sylfaen" w:hAnsi="Sylfaen"/>
                <w:sz w:val="20"/>
                <w:szCs w:val="20"/>
              </w:rPr>
              <w:t>3</w:t>
            </w:r>
          </w:p>
        </w:tc>
        <w:tc>
          <w:tcPr>
            <w:tcW w:w="2552" w:type="dxa"/>
            <w:tcBorders>
              <w:top w:val="single" w:sz="4" w:space="0" w:color="auto"/>
              <w:left w:val="single" w:sz="4" w:space="0" w:color="auto"/>
              <w:bottom w:val="single" w:sz="4" w:space="0" w:color="auto"/>
            </w:tcBorders>
            <w:shd w:val="clear" w:color="auto" w:fill="FFFFFF"/>
          </w:tcPr>
          <w:p w:rsidR="00515232" w:rsidRPr="00DE3AC6" w:rsidRDefault="00F53DEE" w:rsidP="00515E6D">
            <w:pPr>
              <w:pStyle w:val="Bodytext20"/>
              <w:shd w:val="clear" w:color="auto" w:fill="auto"/>
              <w:spacing w:before="0" w:after="120" w:line="240" w:lineRule="auto"/>
              <w:ind w:left="20"/>
              <w:jc w:val="center"/>
              <w:rPr>
                <w:rStyle w:val="Bodytext212pt"/>
                <w:rFonts w:ascii="Sylfaen" w:hAnsi="Sylfaen"/>
                <w:sz w:val="20"/>
                <w:szCs w:val="20"/>
              </w:rPr>
            </w:pPr>
            <w:r w:rsidRPr="00DE3AC6">
              <w:rPr>
                <w:rStyle w:val="Bodytext212pt"/>
                <w:rFonts w:ascii="Sylfaen" w:hAnsi="Sylfaen"/>
                <w:sz w:val="20"/>
                <w:szCs w:val="20"/>
              </w:rPr>
              <w:t>4</w:t>
            </w:r>
          </w:p>
        </w:tc>
        <w:tc>
          <w:tcPr>
            <w:tcW w:w="2977" w:type="dxa"/>
            <w:tcBorders>
              <w:top w:val="single" w:sz="4" w:space="0" w:color="auto"/>
              <w:left w:val="single" w:sz="4" w:space="0" w:color="auto"/>
              <w:bottom w:val="single" w:sz="4" w:space="0" w:color="auto"/>
            </w:tcBorders>
            <w:shd w:val="clear" w:color="auto" w:fill="FFFFFF"/>
          </w:tcPr>
          <w:p w:rsidR="00515232" w:rsidRPr="00DE3AC6" w:rsidRDefault="00F53DEE" w:rsidP="00515E6D">
            <w:pPr>
              <w:pStyle w:val="Bodytext20"/>
              <w:shd w:val="clear" w:color="auto" w:fill="auto"/>
              <w:spacing w:before="0" w:after="120" w:line="240" w:lineRule="auto"/>
              <w:ind w:left="20"/>
              <w:jc w:val="center"/>
              <w:rPr>
                <w:rStyle w:val="Bodytext212pt"/>
                <w:rFonts w:ascii="Sylfaen" w:hAnsi="Sylfaen"/>
                <w:sz w:val="20"/>
                <w:szCs w:val="20"/>
              </w:rPr>
            </w:pPr>
            <w:r w:rsidRPr="00DE3AC6">
              <w:rPr>
                <w:rStyle w:val="Bodytext212pt"/>
                <w:rFonts w:ascii="Sylfaen" w:hAnsi="Sylfaen"/>
                <w:sz w:val="20"/>
                <w:szCs w:val="20"/>
              </w:rPr>
              <w:t>5</w:t>
            </w:r>
          </w:p>
        </w:tc>
        <w:tc>
          <w:tcPr>
            <w:tcW w:w="2835" w:type="dxa"/>
            <w:tcBorders>
              <w:top w:val="single" w:sz="4" w:space="0" w:color="auto"/>
              <w:left w:val="single" w:sz="4" w:space="0" w:color="auto"/>
              <w:bottom w:val="single" w:sz="4" w:space="0" w:color="auto"/>
            </w:tcBorders>
            <w:shd w:val="clear" w:color="auto" w:fill="FFFFFF"/>
          </w:tcPr>
          <w:p w:rsidR="00515232" w:rsidRPr="00DE3AC6" w:rsidRDefault="00F53DEE" w:rsidP="00515E6D">
            <w:pPr>
              <w:pStyle w:val="Bodytext20"/>
              <w:shd w:val="clear" w:color="auto" w:fill="auto"/>
              <w:spacing w:before="0" w:after="120" w:line="240" w:lineRule="auto"/>
              <w:ind w:left="20"/>
              <w:jc w:val="center"/>
              <w:rPr>
                <w:rStyle w:val="Bodytext212pt"/>
                <w:rFonts w:ascii="Sylfaen" w:hAnsi="Sylfaen"/>
                <w:sz w:val="20"/>
                <w:szCs w:val="20"/>
              </w:rPr>
            </w:pPr>
            <w:r w:rsidRPr="00DE3AC6">
              <w:rPr>
                <w:rStyle w:val="Bodytext212pt"/>
                <w:rFonts w:ascii="Sylfaen" w:hAnsi="Sylfaen"/>
                <w:sz w:val="20"/>
                <w:szCs w:val="20"/>
              </w:rPr>
              <w:t>6</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515232" w:rsidRPr="00DE3AC6" w:rsidRDefault="00F53DEE" w:rsidP="00515E6D">
            <w:pPr>
              <w:pStyle w:val="Bodytext20"/>
              <w:shd w:val="clear" w:color="auto" w:fill="auto"/>
              <w:spacing w:before="0" w:after="120" w:line="240" w:lineRule="auto"/>
              <w:ind w:left="20"/>
              <w:jc w:val="center"/>
              <w:rPr>
                <w:rStyle w:val="Bodytext212pt"/>
                <w:rFonts w:ascii="Sylfaen" w:hAnsi="Sylfaen"/>
                <w:sz w:val="20"/>
                <w:szCs w:val="20"/>
              </w:rPr>
            </w:pPr>
            <w:r w:rsidRPr="00DE3AC6">
              <w:rPr>
                <w:rStyle w:val="Bodytext212pt"/>
                <w:rFonts w:ascii="Sylfaen" w:hAnsi="Sylfaen"/>
                <w:sz w:val="20"/>
                <w:szCs w:val="20"/>
              </w:rPr>
              <w:t>7</w:t>
            </w:r>
          </w:p>
        </w:tc>
      </w:tr>
      <w:tr w:rsidR="00011864" w:rsidRPr="00DE3AC6" w:rsidTr="00515E6D">
        <w:trPr>
          <w:jc w:val="center"/>
        </w:trPr>
        <w:tc>
          <w:tcPr>
            <w:tcW w:w="14944" w:type="dxa"/>
            <w:gridSpan w:val="7"/>
            <w:tcBorders>
              <w:top w:val="single" w:sz="4" w:space="0" w:color="auto"/>
            </w:tcBorders>
            <w:shd w:val="clear" w:color="auto" w:fill="FFFFFF"/>
            <w:vAlign w:val="center"/>
          </w:tcPr>
          <w:p w:rsidR="00011864" w:rsidRPr="00DE3AC6" w:rsidRDefault="00F53DEE" w:rsidP="00515E6D">
            <w:pPr>
              <w:widowControl/>
              <w:spacing w:after="120"/>
              <w:jc w:val="center"/>
              <w:rPr>
                <w:rFonts w:eastAsia="Times New Roman" w:cs="Times New Roman"/>
                <w:color w:val="auto"/>
                <w:sz w:val="20"/>
                <w:szCs w:val="20"/>
              </w:rPr>
            </w:pPr>
            <w:r w:rsidRPr="00DE3AC6">
              <w:rPr>
                <w:sz w:val="20"/>
                <w:szCs w:val="20"/>
              </w:rPr>
              <w:t>I. Բժշկական արտադրատեսակների նկատմամբ կիրառելի ստանդարտներ (բացի in vitro ախտորոշումից)</w:t>
            </w:r>
          </w:p>
        </w:tc>
      </w:tr>
      <w:tr w:rsidR="00515E6D" w:rsidRPr="00DE3AC6" w:rsidTr="00317587">
        <w:trPr>
          <w:jc w:val="center"/>
        </w:trPr>
        <w:tc>
          <w:tcPr>
            <w:tcW w:w="896" w:type="dxa"/>
            <w:shd w:val="clear" w:color="auto" w:fill="FFFFFF"/>
          </w:tcPr>
          <w:p w:rsidR="00743425" w:rsidRPr="00DE3AC6" w:rsidRDefault="00F53DEE" w:rsidP="00515E6D">
            <w:pPr>
              <w:spacing w:after="120"/>
              <w:ind w:left="20"/>
              <w:rPr>
                <w:sz w:val="20"/>
                <w:szCs w:val="20"/>
              </w:rPr>
            </w:pPr>
            <w:r w:rsidRPr="00DE3AC6">
              <w:rPr>
                <w:sz w:val="20"/>
                <w:szCs w:val="20"/>
              </w:rPr>
              <w:t>...</w:t>
            </w:r>
          </w:p>
        </w:tc>
        <w:tc>
          <w:tcPr>
            <w:tcW w:w="1365" w:type="dxa"/>
            <w:shd w:val="clear" w:color="auto" w:fill="FFFFFF"/>
          </w:tcPr>
          <w:p w:rsidR="00743425" w:rsidRPr="00DE3AC6" w:rsidRDefault="00743425" w:rsidP="00515E6D">
            <w:pPr>
              <w:spacing w:after="120"/>
              <w:ind w:left="20"/>
              <w:rPr>
                <w:sz w:val="20"/>
                <w:szCs w:val="20"/>
              </w:rPr>
            </w:pPr>
          </w:p>
        </w:tc>
        <w:tc>
          <w:tcPr>
            <w:tcW w:w="2178" w:type="dxa"/>
            <w:shd w:val="clear" w:color="auto" w:fill="FFFFFF"/>
          </w:tcPr>
          <w:p w:rsidR="00743425" w:rsidRPr="00DE3AC6" w:rsidRDefault="00743425" w:rsidP="00515E6D">
            <w:pPr>
              <w:spacing w:after="120"/>
              <w:ind w:left="20"/>
              <w:rPr>
                <w:sz w:val="20"/>
                <w:szCs w:val="20"/>
              </w:rPr>
            </w:pPr>
          </w:p>
        </w:tc>
        <w:tc>
          <w:tcPr>
            <w:tcW w:w="2552" w:type="dxa"/>
            <w:shd w:val="clear" w:color="auto" w:fill="FFFFFF"/>
          </w:tcPr>
          <w:p w:rsidR="00743425" w:rsidRPr="00DE3AC6" w:rsidRDefault="00743425" w:rsidP="00515E6D">
            <w:pPr>
              <w:spacing w:after="120"/>
              <w:ind w:left="20"/>
              <w:rPr>
                <w:sz w:val="20"/>
                <w:szCs w:val="20"/>
              </w:rPr>
            </w:pPr>
          </w:p>
        </w:tc>
        <w:tc>
          <w:tcPr>
            <w:tcW w:w="2977" w:type="dxa"/>
            <w:shd w:val="clear" w:color="auto" w:fill="FFFFFF"/>
          </w:tcPr>
          <w:p w:rsidR="00743425" w:rsidRPr="00DE3AC6" w:rsidRDefault="00743425" w:rsidP="00515E6D">
            <w:pPr>
              <w:spacing w:after="120"/>
              <w:ind w:left="20"/>
              <w:rPr>
                <w:sz w:val="20"/>
                <w:szCs w:val="20"/>
              </w:rPr>
            </w:pPr>
          </w:p>
        </w:tc>
        <w:tc>
          <w:tcPr>
            <w:tcW w:w="2835" w:type="dxa"/>
            <w:shd w:val="clear" w:color="auto" w:fill="FFFFFF"/>
          </w:tcPr>
          <w:p w:rsidR="00743425" w:rsidRPr="00DE3AC6" w:rsidRDefault="00743425" w:rsidP="00515E6D">
            <w:pPr>
              <w:spacing w:after="120"/>
              <w:ind w:left="20"/>
              <w:rPr>
                <w:sz w:val="20"/>
                <w:szCs w:val="20"/>
              </w:rPr>
            </w:pPr>
          </w:p>
        </w:tc>
        <w:tc>
          <w:tcPr>
            <w:tcW w:w="2141" w:type="dxa"/>
            <w:shd w:val="clear" w:color="auto" w:fill="FFFFFF"/>
          </w:tcPr>
          <w:p w:rsidR="00743425" w:rsidRPr="00DE3AC6" w:rsidRDefault="00743425" w:rsidP="00515E6D">
            <w:pPr>
              <w:spacing w:after="120"/>
              <w:ind w:left="20"/>
              <w:rPr>
                <w:sz w:val="20"/>
                <w:szCs w:val="20"/>
              </w:rPr>
            </w:pPr>
          </w:p>
        </w:tc>
      </w:tr>
      <w:tr w:rsidR="00515232" w:rsidRPr="00DE3AC6" w:rsidTr="00515E6D">
        <w:trPr>
          <w:jc w:val="center"/>
        </w:trPr>
        <w:tc>
          <w:tcPr>
            <w:tcW w:w="14944" w:type="dxa"/>
            <w:gridSpan w:val="7"/>
            <w:shd w:val="clear" w:color="auto" w:fill="FFFFFF"/>
            <w:vAlign w:val="center"/>
          </w:tcPr>
          <w:p w:rsidR="00515232" w:rsidRPr="00DE3AC6" w:rsidRDefault="00F53DEE" w:rsidP="00515E6D">
            <w:pPr>
              <w:spacing w:after="120"/>
              <w:ind w:left="20"/>
              <w:jc w:val="center"/>
              <w:rPr>
                <w:sz w:val="20"/>
                <w:szCs w:val="20"/>
              </w:rPr>
            </w:pPr>
            <w:r w:rsidRPr="00DE3AC6">
              <w:rPr>
                <w:sz w:val="20"/>
                <w:szCs w:val="20"/>
              </w:rPr>
              <w:t>II. I</w:t>
            </w:r>
            <w:r w:rsidR="00A221CD" w:rsidRPr="00DE3AC6">
              <w:rPr>
                <w:sz w:val="20"/>
                <w:szCs w:val="20"/>
              </w:rPr>
              <w:t>n vitro ախտորոշման համար բ</w:t>
            </w:r>
            <w:r w:rsidRPr="00DE3AC6">
              <w:rPr>
                <w:sz w:val="20"/>
                <w:szCs w:val="20"/>
              </w:rPr>
              <w:t>ժշկական արտադրատեսակների</w:t>
            </w:r>
            <w:r w:rsidR="00A221CD" w:rsidRPr="00DE3AC6">
              <w:rPr>
                <w:sz w:val="20"/>
                <w:szCs w:val="20"/>
              </w:rPr>
              <w:t xml:space="preserve"> համար </w:t>
            </w:r>
            <w:r w:rsidRPr="00DE3AC6">
              <w:rPr>
                <w:sz w:val="20"/>
                <w:szCs w:val="20"/>
              </w:rPr>
              <w:t>կիրառելի ստանդարտներ</w:t>
            </w:r>
          </w:p>
        </w:tc>
      </w:tr>
      <w:tr w:rsidR="00515E6D" w:rsidRPr="00DE3AC6" w:rsidTr="00317587">
        <w:trPr>
          <w:jc w:val="center"/>
        </w:trPr>
        <w:tc>
          <w:tcPr>
            <w:tcW w:w="896" w:type="dxa"/>
            <w:shd w:val="clear" w:color="auto" w:fill="FFFFFF"/>
          </w:tcPr>
          <w:p w:rsidR="00743425" w:rsidRPr="00DE3AC6" w:rsidRDefault="00F53DEE" w:rsidP="00515E6D">
            <w:pPr>
              <w:spacing w:after="120"/>
              <w:ind w:left="20"/>
              <w:rPr>
                <w:sz w:val="20"/>
                <w:szCs w:val="20"/>
              </w:rPr>
            </w:pPr>
            <w:r w:rsidRPr="00DE3AC6">
              <w:rPr>
                <w:sz w:val="20"/>
                <w:szCs w:val="20"/>
              </w:rPr>
              <w:t>...</w:t>
            </w:r>
          </w:p>
        </w:tc>
        <w:tc>
          <w:tcPr>
            <w:tcW w:w="1365" w:type="dxa"/>
            <w:shd w:val="clear" w:color="auto" w:fill="FFFFFF"/>
          </w:tcPr>
          <w:p w:rsidR="00743425" w:rsidRPr="00DE3AC6" w:rsidRDefault="00743425" w:rsidP="00515E6D">
            <w:pPr>
              <w:spacing w:after="120"/>
              <w:ind w:left="20"/>
              <w:rPr>
                <w:sz w:val="20"/>
                <w:szCs w:val="20"/>
              </w:rPr>
            </w:pPr>
          </w:p>
        </w:tc>
        <w:tc>
          <w:tcPr>
            <w:tcW w:w="2178" w:type="dxa"/>
            <w:shd w:val="clear" w:color="auto" w:fill="FFFFFF"/>
          </w:tcPr>
          <w:p w:rsidR="00743425" w:rsidRPr="00DE3AC6" w:rsidRDefault="00743425" w:rsidP="00515E6D">
            <w:pPr>
              <w:spacing w:after="120"/>
              <w:ind w:left="20"/>
              <w:rPr>
                <w:sz w:val="20"/>
                <w:szCs w:val="20"/>
              </w:rPr>
            </w:pPr>
          </w:p>
        </w:tc>
        <w:tc>
          <w:tcPr>
            <w:tcW w:w="2552" w:type="dxa"/>
            <w:shd w:val="clear" w:color="auto" w:fill="FFFFFF"/>
          </w:tcPr>
          <w:p w:rsidR="00743425" w:rsidRPr="00DE3AC6" w:rsidRDefault="00743425" w:rsidP="00515E6D">
            <w:pPr>
              <w:spacing w:after="120"/>
              <w:ind w:left="20"/>
              <w:rPr>
                <w:sz w:val="20"/>
                <w:szCs w:val="20"/>
              </w:rPr>
            </w:pPr>
          </w:p>
        </w:tc>
        <w:tc>
          <w:tcPr>
            <w:tcW w:w="2977" w:type="dxa"/>
            <w:shd w:val="clear" w:color="auto" w:fill="FFFFFF"/>
          </w:tcPr>
          <w:p w:rsidR="00743425" w:rsidRPr="00DE3AC6" w:rsidRDefault="00743425" w:rsidP="00515E6D">
            <w:pPr>
              <w:spacing w:after="120"/>
              <w:ind w:left="20"/>
              <w:rPr>
                <w:sz w:val="20"/>
                <w:szCs w:val="20"/>
              </w:rPr>
            </w:pPr>
          </w:p>
        </w:tc>
        <w:tc>
          <w:tcPr>
            <w:tcW w:w="2835" w:type="dxa"/>
            <w:shd w:val="clear" w:color="auto" w:fill="FFFFFF"/>
          </w:tcPr>
          <w:p w:rsidR="00743425" w:rsidRPr="00DE3AC6" w:rsidRDefault="00743425" w:rsidP="00515E6D">
            <w:pPr>
              <w:spacing w:after="120"/>
              <w:ind w:left="20"/>
              <w:rPr>
                <w:sz w:val="20"/>
                <w:szCs w:val="20"/>
              </w:rPr>
            </w:pPr>
          </w:p>
        </w:tc>
        <w:tc>
          <w:tcPr>
            <w:tcW w:w="2141" w:type="dxa"/>
            <w:shd w:val="clear" w:color="auto" w:fill="FFFFFF"/>
          </w:tcPr>
          <w:p w:rsidR="00743425" w:rsidRPr="00DE3AC6" w:rsidRDefault="00743425" w:rsidP="00515E6D">
            <w:pPr>
              <w:spacing w:after="120"/>
              <w:ind w:left="20"/>
              <w:rPr>
                <w:sz w:val="20"/>
                <w:szCs w:val="20"/>
              </w:rPr>
            </w:pPr>
          </w:p>
        </w:tc>
      </w:tr>
    </w:tbl>
    <w:p w:rsidR="004B6CCD" w:rsidRPr="00DE3AC6" w:rsidRDefault="004B6CCD" w:rsidP="00515E6D">
      <w:pPr>
        <w:pStyle w:val="Headerorfooter0"/>
        <w:shd w:val="clear" w:color="auto" w:fill="auto"/>
        <w:spacing w:after="160" w:line="360" w:lineRule="auto"/>
        <w:ind w:left="1701" w:hanging="2268"/>
        <w:rPr>
          <w:rStyle w:val="Headerorfooter2"/>
          <w:rFonts w:ascii="Sylfaen" w:hAnsi="Sylfaen"/>
          <w:sz w:val="24"/>
          <w:szCs w:val="24"/>
          <w:lang w:val="en-US"/>
        </w:rPr>
      </w:pPr>
    </w:p>
    <w:tbl>
      <w:tblPr>
        <w:tblStyle w:val="TableGrid"/>
        <w:tblW w:w="1488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12163"/>
      </w:tblGrid>
      <w:tr w:rsidR="004B6CCD" w:rsidRPr="00DE3AC6" w:rsidTr="004B6CCD">
        <w:trPr>
          <w:trHeight w:val="1044"/>
        </w:trPr>
        <w:tc>
          <w:tcPr>
            <w:tcW w:w="2722" w:type="dxa"/>
          </w:tcPr>
          <w:p w:rsidR="004B6CCD" w:rsidRPr="00DE3AC6" w:rsidRDefault="004B6CCD" w:rsidP="004B6CCD">
            <w:pPr>
              <w:pStyle w:val="Headerorfooter0"/>
              <w:shd w:val="clear" w:color="auto" w:fill="auto"/>
              <w:spacing w:after="160" w:line="360" w:lineRule="auto"/>
              <w:jc w:val="center"/>
              <w:rPr>
                <w:rStyle w:val="Headerorfooter2"/>
                <w:rFonts w:ascii="Sylfaen" w:hAnsi="Sylfaen"/>
                <w:sz w:val="20"/>
                <w:szCs w:val="20"/>
                <w:lang w:val="en-US"/>
              </w:rPr>
            </w:pPr>
            <w:r w:rsidRPr="00DE3AC6">
              <w:rPr>
                <w:rStyle w:val="Headerorfooter2"/>
                <w:rFonts w:ascii="Sylfaen" w:hAnsi="Sylfaen"/>
                <w:sz w:val="20"/>
                <w:szCs w:val="20"/>
              </w:rPr>
              <w:t>Ծանոթագրություններ.</w:t>
            </w:r>
          </w:p>
        </w:tc>
        <w:tc>
          <w:tcPr>
            <w:tcW w:w="12163" w:type="dxa"/>
          </w:tcPr>
          <w:p w:rsidR="004B6CCD" w:rsidRPr="00DE3AC6" w:rsidRDefault="004B6CCD" w:rsidP="006453B0">
            <w:pPr>
              <w:pStyle w:val="Headerorfooter0"/>
              <w:shd w:val="clear" w:color="auto" w:fill="auto"/>
              <w:tabs>
                <w:tab w:val="left" w:pos="431"/>
              </w:tabs>
              <w:spacing w:after="160" w:line="360" w:lineRule="auto"/>
              <w:ind w:left="431" w:hanging="525"/>
              <w:jc w:val="both"/>
              <w:rPr>
                <w:rFonts w:ascii="Sylfaen" w:hAnsi="Sylfaen"/>
                <w:sz w:val="20"/>
                <w:szCs w:val="20"/>
              </w:rPr>
            </w:pPr>
            <w:r w:rsidRPr="00DE3AC6">
              <w:rPr>
                <w:rFonts w:ascii="Sylfaen" w:hAnsi="Sylfaen"/>
                <w:sz w:val="20"/>
                <w:szCs w:val="20"/>
              </w:rPr>
              <w:t>1.</w:t>
            </w:r>
            <w:r w:rsidRPr="00DE3AC6">
              <w:rPr>
                <w:rFonts w:ascii="Sylfaen" w:hAnsi="Sylfaen"/>
                <w:sz w:val="20"/>
                <w:szCs w:val="20"/>
                <w:lang w:val="en-US"/>
              </w:rPr>
              <w:tab/>
            </w:r>
            <w:r w:rsidRPr="00DE3AC6">
              <w:rPr>
                <w:rFonts w:ascii="Sylfaen" w:hAnsi="Sylfaen"/>
                <w:sz w:val="20"/>
                <w:szCs w:val="20"/>
              </w:rPr>
              <w:t>4-րդ եւ 5-րդ սյունակներում նշվում են Եվրասիական տնտեսական հանձնաժողովի խորհրդի 2016</w:t>
            </w:r>
            <w:r w:rsidRPr="00DE3AC6">
              <w:rPr>
                <w:rFonts w:ascii="Sylfaen" w:hAnsi="Sylfaen"/>
                <w:sz w:val="20"/>
                <w:szCs w:val="20"/>
                <w:lang w:val="en-US"/>
              </w:rPr>
              <w:t xml:space="preserve"> </w:t>
            </w:r>
            <w:r w:rsidRPr="00DE3AC6">
              <w:rPr>
                <w:rFonts w:ascii="Sylfaen" w:hAnsi="Sylfaen"/>
                <w:sz w:val="20"/>
                <w:szCs w:val="20"/>
              </w:rPr>
              <w:t>թվականի փետրվարի</w:t>
            </w:r>
            <w:r w:rsidRPr="00DE3AC6">
              <w:rPr>
                <w:rFonts w:ascii="Sylfaen" w:hAnsi="Sylfaen"/>
                <w:sz w:val="20"/>
                <w:szCs w:val="20"/>
                <w:lang w:val="en-US"/>
              </w:rPr>
              <w:t xml:space="preserve"> </w:t>
            </w:r>
            <w:r w:rsidRPr="00DE3AC6">
              <w:rPr>
                <w:rFonts w:ascii="Sylfaen" w:hAnsi="Sylfaen"/>
                <w:sz w:val="20"/>
                <w:szCs w:val="20"/>
              </w:rPr>
              <w:t>12-ի թիվ 27 որոշմամբ հաստատված՝ Բժշկական արտադրատեսակների անվտանգության ու արդյունավետության ընդհանուր պահանջներին, դրանց մակնշմանը եւ շահագործման փաստաթղթերին ներկայացվող պահանջներին (այսուհետ՝</w:t>
            </w:r>
            <w:r w:rsidR="006453B0" w:rsidRPr="00DE3AC6">
              <w:rPr>
                <w:rFonts w:ascii="Sylfaen" w:hAnsi="Sylfaen"/>
                <w:sz w:val="20"/>
                <w:szCs w:val="20"/>
                <w:lang w:val="en-US"/>
              </w:rPr>
              <w:t xml:space="preserve"> </w:t>
            </w:r>
            <w:r w:rsidRPr="00DE3AC6">
              <w:rPr>
                <w:rFonts w:ascii="Sylfaen" w:hAnsi="Sylfaen"/>
                <w:sz w:val="20"/>
                <w:szCs w:val="20"/>
              </w:rPr>
              <w:t>Ընդհանուր պահանջներ) բժշկական արտադրատեսակների համապատասխանության ապահովման նպատակով ստանդարտի կիրառումը սկսելու եւ դադարեցնելու ամսաթվերը:</w:t>
            </w:r>
          </w:p>
          <w:p w:rsidR="004B6CCD" w:rsidRPr="00DE3AC6" w:rsidRDefault="004B6CCD" w:rsidP="00317587">
            <w:pPr>
              <w:pStyle w:val="Bodytext40"/>
              <w:shd w:val="clear" w:color="auto" w:fill="auto"/>
              <w:tabs>
                <w:tab w:val="left" w:pos="431"/>
              </w:tabs>
              <w:spacing w:after="160" w:line="360" w:lineRule="auto"/>
              <w:ind w:left="431" w:right="34" w:hanging="525"/>
              <w:rPr>
                <w:rFonts w:ascii="Sylfaen" w:hAnsi="Sylfaen"/>
                <w:sz w:val="20"/>
                <w:szCs w:val="20"/>
              </w:rPr>
            </w:pPr>
            <w:r w:rsidRPr="00DE3AC6">
              <w:rPr>
                <w:rFonts w:ascii="Sylfaen" w:hAnsi="Sylfaen"/>
                <w:sz w:val="20"/>
                <w:szCs w:val="20"/>
              </w:rPr>
              <w:t>2.</w:t>
            </w:r>
            <w:r w:rsidRPr="00DE3AC6">
              <w:rPr>
                <w:rFonts w:ascii="Sylfaen" w:hAnsi="Sylfaen"/>
                <w:sz w:val="20"/>
                <w:szCs w:val="20"/>
              </w:rPr>
              <w:tab/>
              <w:t>6-րդ սյունակում նշվում են ստանդարտի կիրառվող կառուցվածքային տարրերը, եթե ստանդարտի ոչ բոլոր կառուցվածքային տարրերն են ապահովում Ընդհանուր պահանջներին բժշկական արտադրատեսակների համապատասխանության կանխավարկածը։</w:t>
            </w:r>
          </w:p>
          <w:p w:rsidR="004B6CCD" w:rsidRPr="00DE3AC6" w:rsidRDefault="004B6CCD" w:rsidP="00317587">
            <w:pPr>
              <w:pStyle w:val="Bodytext40"/>
              <w:shd w:val="clear" w:color="auto" w:fill="auto"/>
              <w:tabs>
                <w:tab w:val="left" w:pos="431"/>
              </w:tabs>
              <w:spacing w:after="160" w:line="360" w:lineRule="auto"/>
              <w:ind w:left="431" w:right="34" w:hanging="525"/>
              <w:rPr>
                <w:rStyle w:val="Headerorfooter2"/>
                <w:rFonts w:ascii="Sylfaen" w:hAnsi="Sylfaen"/>
                <w:sz w:val="20"/>
                <w:szCs w:val="20"/>
              </w:rPr>
            </w:pPr>
            <w:r w:rsidRPr="00DE3AC6">
              <w:rPr>
                <w:rFonts w:ascii="Sylfaen" w:hAnsi="Sylfaen"/>
                <w:sz w:val="20"/>
                <w:szCs w:val="20"/>
              </w:rPr>
              <w:t>3.</w:t>
            </w:r>
            <w:r w:rsidRPr="00DE3AC6">
              <w:rPr>
                <w:rFonts w:ascii="Sylfaen" w:hAnsi="Sylfaen"/>
                <w:sz w:val="20"/>
                <w:szCs w:val="20"/>
              </w:rPr>
              <w:tab/>
              <w:t>7-րդ սյունակում նշվում է Ընդհանուր պահանջների համապատասխան կետը, որն իրականացվում է 6-րդ սյունակում նշված՝ ստանդարտի կառուցվածքային տարրի կիրառման դեպքում։</w:t>
            </w:r>
          </w:p>
        </w:tc>
      </w:tr>
    </w:tbl>
    <w:p w:rsidR="004B6CCD" w:rsidRPr="00DE3AC6" w:rsidRDefault="004B6CCD" w:rsidP="00515E6D">
      <w:pPr>
        <w:pStyle w:val="Headerorfooter0"/>
        <w:shd w:val="clear" w:color="auto" w:fill="auto"/>
        <w:spacing w:after="160" w:line="360" w:lineRule="auto"/>
        <w:ind w:left="1701" w:hanging="2268"/>
        <w:rPr>
          <w:rStyle w:val="Headerorfooter2"/>
          <w:rFonts w:ascii="Sylfaen" w:hAnsi="Sylfaen"/>
          <w:sz w:val="24"/>
          <w:szCs w:val="24"/>
        </w:rPr>
      </w:pPr>
    </w:p>
    <w:p w:rsidR="00B65C33" w:rsidRPr="00DE3AC6" w:rsidRDefault="004B6CCD" w:rsidP="00317587">
      <w:pPr>
        <w:pStyle w:val="Bodytext40"/>
        <w:shd w:val="clear" w:color="auto" w:fill="auto"/>
        <w:spacing w:after="160" w:line="360" w:lineRule="auto"/>
        <w:ind w:right="112"/>
        <w:jc w:val="center"/>
        <w:rPr>
          <w:rFonts w:ascii="Sylfaen" w:hAnsi="Sylfaen"/>
          <w:lang w:val="en-US"/>
        </w:rPr>
      </w:pPr>
      <w:r w:rsidRPr="00DE3AC6">
        <w:rPr>
          <w:rFonts w:ascii="Sylfaen" w:hAnsi="Sylfaen"/>
          <w:lang w:val="en-US"/>
        </w:rPr>
        <w:t>______________</w:t>
      </w:r>
    </w:p>
    <w:p w:rsidR="004B6CCD" w:rsidRPr="00DE3AC6" w:rsidRDefault="004B6CCD" w:rsidP="00295C92">
      <w:pPr>
        <w:pStyle w:val="Bodytext40"/>
        <w:shd w:val="clear" w:color="auto" w:fill="auto"/>
        <w:spacing w:after="160" w:line="360" w:lineRule="auto"/>
        <w:ind w:left="1418" w:right="1160"/>
        <w:rPr>
          <w:rFonts w:ascii="Sylfaen" w:hAnsi="Sylfaen"/>
          <w:lang w:val="en-US"/>
        </w:rPr>
      </w:pPr>
    </w:p>
    <w:p w:rsidR="00B65C33" w:rsidRPr="00DE3AC6" w:rsidRDefault="00B65C33" w:rsidP="00295C92">
      <w:pPr>
        <w:pStyle w:val="Bodytext40"/>
        <w:shd w:val="clear" w:color="auto" w:fill="auto"/>
        <w:spacing w:after="160" w:line="360" w:lineRule="auto"/>
        <w:ind w:left="1418" w:right="1160"/>
        <w:rPr>
          <w:rFonts w:ascii="Sylfaen" w:hAnsi="Sylfaen"/>
        </w:rPr>
        <w:sectPr w:rsidR="00B65C33" w:rsidRPr="00DE3AC6" w:rsidSect="00DF69DB">
          <w:pgSz w:w="16840" w:h="11907" w:orient="landscape" w:code="9"/>
          <w:pgMar w:top="1418" w:right="1418" w:bottom="1418" w:left="1418" w:header="0" w:footer="671" w:gutter="0"/>
          <w:pgNumType w:start="1"/>
          <w:cols w:space="720"/>
          <w:noEndnote/>
          <w:titlePg/>
          <w:docGrid w:linePitch="360"/>
        </w:sectPr>
      </w:pPr>
    </w:p>
    <w:p w:rsidR="000E0DF5" w:rsidRPr="00DE3AC6" w:rsidRDefault="00F53DEE" w:rsidP="006453B0">
      <w:pPr>
        <w:pStyle w:val="Bodytext20"/>
        <w:shd w:val="clear" w:color="auto" w:fill="auto"/>
        <w:spacing w:before="0" w:after="160" w:line="360" w:lineRule="auto"/>
        <w:ind w:left="7088" w:right="62"/>
        <w:jc w:val="center"/>
        <w:rPr>
          <w:rFonts w:ascii="Sylfaen" w:hAnsi="Sylfaen"/>
          <w:sz w:val="24"/>
          <w:szCs w:val="24"/>
        </w:rPr>
      </w:pPr>
      <w:r w:rsidRPr="00DE3AC6">
        <w:rPr>
          <w:rFonts w:ascii="Sylfaen" w:hAnsi="Sylfaen"/>
          <w:sz w:val="24"/>
          <w:szCs w:val="24"/>
        </w:rPr>
        <w:lastRenderedPageBreak/>
        <w:t>ՀԱՎԵԼՎԱԾ ԹԻՎ 2</w:t>
      </w:r>
    </w:p>
    <w:p w:rsidR="00743425" w:rsidRPr="00DE3AC6" w:rsidRDefault="00F53DEE" w:rsidP="006453B0">
      <w:pPr>
        <w:pStyle w:val="Bodytext20"/>
        <w:shd w:val="clear" w:color="auto" w:fill="auto"/>
        <w:spacing w:before="0" w:after="160" w:line="360" w:lineRule="auto"/>
        <w:ind w:left="7088" w:right="62"/>
        <w:jc w:val="center"/>
        <w:rPr>
          <w:rFonts w:ascii="Sylfaen" w:hAnsi="Sylfaen"/>
          <w:sz w:val="24"/>
          <w:szCs w:val="24"/>
        </w:rPr>
      </w:pPr>
      <w:r w:rsidRPr="00DE3AC6">
        <w:rPr>
          <w:rFonts w:ascii="Sylfaen" w:hAnsi="Sylfaen"/>
          <w:sz w:val="24"/>
          <w:szCs w:val="24"/>
        </w:rPr>
        <w:t xml:space="preserve">այն ստանդարտների ցանկի ձեւավորման կարգի, որոնց կիրառման արդյունքում կամավոր հիմունքով ամբողջությամբ կամ մասնակիորեն ապահովվում է Բժշկական արտադրատեսակների անվտանգության </w:t>
      </w:r>
      <w:r w:rsidR="00295C92" w:rsidRPr="00DE3AC6">
        <w:rPr>
          <w:rFonts w:ascii="Sylfaen" w:hAnsi="Sylfaen"/>
          <w:sz w:val="24"/>
          <w:szCs w:val="24"/>
        </w:rPr>
        <w:t>եւ</w:t>
      </w:r>
      <w:r w:rsidRPr="00DE3AC6">
        <w:rPr>
          <w:rFonts w:ascii="Sylfaen" w:hAnsi="Sylfaen"/>
          <w:sz w:val="24"/>
          <w:szCs w:val="24"/>
        </w:rPr>
        <w:t xml:space="preserve"> արդյունավետության ընդհանուր պահանջներին, դրանց մակնշման</w:t>
      </w:r>
      <w:r w:rsidR="00DA634B" w:rsidRPr="00DE3AC6">
        <w:rPr>
          <w:rFonts w:ascii="Sylfaen" w:hAnsi="Sylfaen"/>
          <w:sz w:val="24"/>
          <w:szCs w:val="24"/>
        </w:rPr>
        <w:t>ն ու</w:t>
      </w:r>
      <w:r w:rsidRPr="00DE3AC6">
        <w:rPr>
          <w:rFonts w:ascii="Sylfaen" w:hAnsi="Sylfaen"/>
          <w:sz w:val="24"/>
          <w:szCs w:val="24"/>
        </w:rPr>
        <w:t xml:space="preserve"> շահագործման փաստաթղթերին ներկայացվող պահանջներին բժշկական արտադրատեսակների համապատասխանության պահպանումը</w:t>
      </w:r>
    </w:p>
    <w:p w:rsidR="00945D02" w:rsidRPr="00DE3AC6" w:rsidRDefault="00945D02" w:rsidP="00945D02">
      <w:pPr>
        <w:pStyle w:val="Heading20"/>
        <w:shd w:val="clear" w:color="auto" w:fill="auto"/>
        <w:spacing w:before="0" w:after="160" w:line="360" w:lineRule="auto"/>
        <w:ind w:left="567" w:right="62"/>
        <w:jc w:val="center"/>
        <w:outlineLvl w:val="9"/>
        <w:rPr>
          <w:rStyle w:val="Heading2Spacing2pt"/>
          <w:rFonts w:ascii="Sylfaen" w:hAnsi="Sylfaen"/>
          <w:b/>
          <w:spacing w:val="0"/>
          <w:sz w:val="24"/>
          <w:szCs w:val="24"/>
          <w:lang w:val="en-US"/>
        </w:rPr>
      </w:pPr>
      <w:bookmarkStart w:id="4" w:name="bookmark5"/>
    </w:p>
    <w:p w:rsidR="00743425" w:rsidRPr="00DE3AC6" w:rsidRDefault="00F53DEE" w:rsidP="006453B0">
      <w:pPr>
        <w:pStyle w:val="Heading20"/>
        <w:shd w:val="clear" w:color="auto" w:fill="auto"/>
        <w:spacing w:before="0" w:after="160" w:line="360" w:lineRule="auto"/>
        <w:ind w:left="567" w:right="537"/>
        <w:jc w:val="center"/>
        <w:outlineLvl w:val="9"/>
        <w:rPr>
          <w:rFonts w:ascii="Sylfaen" w:hAnsi="Sylfaen"/>
          <w:sz w:val="24"/>
          <w:szCs w:val="24"/>
        </w:rPr>
      </w:pPr>
      <w:r w:rsidRPr="00DE3AC6">
        <w:rPr>
          <w:rStyle w:val="Heading2Spacing2pt"/>
          <w:rFonts w:ascii="Sylfaen" w:hAnsi="Sylfaen"/>
          <w:b/>
          <w:spacing w:val="0"/>
          <w:sz w:val="24"/>
          <w:szCs w:val="24"/>
        </w:rPr>
        <w:t>ՁԵՎ</w:t>
      </w:r>
      <w:bookmarkEnd w:id="4"/>
    </w:p>
    <w:p w:rsidR="00743425" w:rsidRPr="00DE3AC6" w:rsidRDefault="00F53DEE" w:rsidP="006453B0">
      <w:pPr>
        <w:pStyle w:val="Bodytext30"/>
        <w:shd w:val="clear" w:color="auto" w:fill="auto"/>
        <w:spacing w:after="160" w:line="360" w:lineRule="auto"/>
        <w:ind w:left="567" w:right="537"/>
        <w:rPr>
          <w:rFonts w:ascii="Sylfaen" w:hAnsi="Sylfaen"/>
          <w:sz w:val="24"/>
          <w:szCs w:val="24"/>
        </w:rPr>
      </w:pPr>
      <w:r w:rsidRPr="00DE3AC6">
        <w:rPr>
          <w:rFonts w:ascii="Sylfaen" w:hAnsi="Sylfaen"/>
          <w:sz w:val="24"/>
          <w:szCs w:val="24"/>
        </w:rPr>
        <w:t>Բժշկական արտադրատեսակների անվտանգության եւ արդյունավետության ընդհանուր պահանջների, դրանց մակնշման</w:t>
      </w:r>
      <w:r w:rsidR="00DA634B" w:rsidRPr="00DE3AC6">
        <w:rPr>
          <w:rFonts w:ascii="Sylfaen" w:hAnsi="Sylfaen"/>
          <w:sz w:val="24"/>
          <w:szCs w:val="24"/>
        </w:rPr>
        <w:t>ն ու</w:t>
      </w:r>
      <w:r w:rsidRPr="00DE3AC6">
        <w:rPr>
          <w:rFonts w:ascii="Sylfaen" w:hAnsi="Sylfaen"/>
          <w:sz w:val="24"/>
          <w:szCs w:val="24"/>
        </w:rPr>
        <w:t xml:space="preserve"> շահագործման փաստաթղթերին ներկայացվող պահանջների նպատակներին ստանդարտի համապատասխանության վերլուծության արդյունքների ներկայացման </w:t>
      </w:r>
    </w:p>
    <w:tbl>
      <w:tblPr>
        <w:tblOverlap w:val="never"/>
        <w:tblW w:w="15345" w:type="dxa"/>
        <w:jc w:val="center"/>
        <w:tblInd w:w="-128" w:type="dxa"/>
        <w:tblLayout w:type="fixed"/>
        <w:tblCellMar>
          <w:left w:w="10" w:type="dxa"/>
          <w:right w:w="10" w:type="dxa"/>
        </w:tblCellMar>
        <w:tblLook w:val="04A0" w:firstRow="1" w:lastRow="0" w:firstColumn="1" w:lastColumn="0" w:noHBand="0" w:noVBand="1"/>
      </w:tblPr>
      <w:tblGrid>
        <w:gridCol w:w="755"/>
        <w:gridCol w:w="1372"/>
        <w:gridCol w:w="1400"/>
        <w:gridCol w:w="2324"/>
        <w:gridCol w:w="2757"/>
        <w:gridCol w:w="3653"/>
        <w:gridCol w:w="3084"/>
      </w:tblGrid>
      <w:tr w:rsidR="00945D02" w:rsidRPr="00DE3AC6" w:rsidTr="00945D02">
        <w:trPr>
          <w:jc w:val="center"/>
        </w:trPr>
        <w:tc>
          <w:tcPr>
            <w:tcW w:w="755" w:type="dxa"/>
            <w:tcBorders>
              <w:top w:val="single" w:sz="4" w:space="0" w:color="auto"/>
              <w:left w:val="single" w:sz="4" w:space="0" w:color="auto"/>
            </w:tcBorders>
            <w:shd w:val="clear" w:color="auto" w:fill="FFFFFF"/>
          </w:tcPr>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t>Թիվ</w:t>
            </w:r>
          </w:p>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t>ը/կ</w:t>
            </w:r>
          </w:p>
        </w:tc>
        <w:tc>
          <w:tcPr>
            <w:tcW w:w="1372" w:type="dxa"/>
            <w:tcBorders>
              <w:top w:val="single" w:sz="4" w:space="0" w:color="auto"/>
              <w:left w:val="single" w:sz="4" w:space="0" w:color="auto"/>
            </w:tcBorders>
            <w:shd w:val="clear" w:color="auto" w:fill="FFFFFF"/>
          </w:tcPr>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t>Ստանդարտի նշագիրը</w:t>
            </w:r>
          </w:p>
        </w:tc>
        <w:tc>
          <w:tcPr>
            <w:tcW w:w="1400" w:type="dxa"/>
            <w:tcBorders>
              <w:top w:val="single" w:sz="4" w:space="0" w:color="auto"/>
              <w:left w:val="single" w:sz="4" w:space="0" w:color="auto"/>
            </w:tcBorders>
            <w:shd w:val="clear" w:color="auto" w:fill="FFFFFF"/>
          </w:tcPr>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t>Ստանդարտի անվանումը</w:t>
            </w:r>
          </w:p>
        </w:tc>
        <w:tc>
          <w:tcPr>
            <w:tcW w:w="2324" w:type="dxa"/>
            <w:tcBorders>
              <w:top w:val="single" w:sz="4" w:space="0" w:color="auto"/>
              <w:left w:val="single" w:sz="4" w:space="0" w:color="auto"/>
            </w:tcBorders>
            <w:shd w:val="clear" w:color="auto" w:fill="FFFFFF"/>
          </w:tcPr>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t xml:space="preserve">Ստանդարտը գործողության մեջ դնելու (գործողությունը չեղարկելու) ամսաթիվը </w:t>
            </w:r>
          </w:p>
        </w:tc>
        <w:tc>
          <w:tcPr>
            <w:tcW w:w="2757" w:type="dxa"/>
            <w:tcBorders>
              <w:top w:val="single" w:sz="4" w:space="0" w:color="auto"/>
              <w:left w:val="single" w:sz="4" w:space="0" w:color="auto"/>
            </w:tcBorders>
            <w:shd w:val="clear" w:color="auto" w:fill="FFFFFF"/>
          </w:tcPr>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t xml:space="preserve">Միջազգային կամ տարածաշրջանային ստանդարտի գործող տարբերակի համապատասխանությունը (միջազգային եւ (կամ) </w:t>
            </w:r>
            <w:r w:rsidRPr="00DE3AC6">
              <w:rPr>
                <w:rStyle w:val="Bodytext212pt"/>
                <w:rFonts w:ascii="Sylfaen" w:hAnsi="Sylfaen"/>
                <w:sz w:val="20"/>
                <w:szCs w:val="20"/>
              </w:rPr>
              <w:lastRenderedPageBreak/>
              <w:t>տարածաշրջանային ստանդարտների հիման վրա ընդունված ստանդարտների համար) Ընդհանուր պահանջների նպատակներին</w:t>
            </w:r>
          </w:p>
        </w:tc>
        <w:tc>
          <w:tcPr>
            <w:tcW w:w="3653" w:type="dxa"/>
            <w:tcBorders>
              <w:top w:val="single" w:sz="4" w:space="0" w:color="auto"/>
              <w:left w:val="single" w:sz="4" w:space="0" w:color="auto"/>
            </w:tcBorders>
            <w:shd w:val="clear" w:color="auto" w:fill="FFFFFF"/>
          </w:tcPr>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lastRenderedPageBreak/>
              <w:t xml:space="preserve">Միջազգային կամ տարածաշրջանային մակարդակով կարգավորման նպատակներով համապատասխան միջազգային կամ տարածաշրջանային ստանդարտի կիրառման մասին տեղեկություններ (միջազգային եւ </w:t>
            </w:r>
            <w:r w:rsidRPr="00DE3AC6">
              <w:rPr>
                <w:rStyle w:val="Bodytext212pt"/>
                <w:rFonts w:ascii="Sylfaen" w:hAnsi="Sylfaen"/>
                <w:sz w:val="20"/>
                <w:szCs w:val="20"/>
              </w:rPr>
              <w:lastRenderedPageBreak/>
              <w:t>(կամ) տարածաշրջանային ստանդարտների հիման վրա ընդունված ստանդարտների համար)</w:t>
            </w:r>
          </w:p>
        </w:tc>
        <w:tc>
          <w:tcPr>
            <w:tcW w:w="3084" w:type="dxa"/>
            <w:tcBorders>
              <w:top w:val="single" w:sz="4" w:space="0" w:color="auto"/>
              <w:left w:val="single" w:sz="4" w:space="0" w:color="auto"/>
              <w:right w:val="single" w:sz="4" w:space="0" w:color="auto"/>
            </w:tcBorders>
            <w:shd w:val="clear" w:color="auto" w:fill="FFFFFF"/>
          </w:tcPr>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lastRenderedPageBreak/>
              <w:t>Հետազոտությունների (փորձարկումների) մեթոդներով ստանդարտի ապահովված լինելու մասին տեղեկություններ</w:t>
            </w:r>
            <w:r w:rsidR="00945D02" w:rsidRPr="00DE3AC6">
              <w:rPr>
                <w:rStyle w:val="Bodytext212pt"/>
                <w:rFonts w:ascii="Sylfaen" w:hAnsi="Sylfaen"/>
                <w:sz w:val="20"/>
                <w:szCs w:val="20"/>
              </w:rPr>
              <w:t xml:space="preserve"> </w:t>
            </w:r>
            <w:r w:rsidRPr="00DE3AC6">
              <w:rPr>
                <w:rStyle w:val="Bodytext212pt"/>
                <w:rFonts w:ascii="Sylfaen" w:hAnsi="Sylfaen"/>
                <w:sz w:val="20"/>
                <w:szCs w:val="20"/>
              </w:rPr>
              <w:t>(անհրաժեշտության դեպքում)</w:t>
            </w:r>
          </w:p>
        </w:tc>
      </w:tr>
      <w:tr w:rsidR="00945D02" w:rsidRPr="00DE3AC6" w:rsidTr="00945D02">
        <w:trPr>
          <w:jc w:val="center"/>
        </w:trPr>
        <w:tc>
          <w:tcPr>
            <w:tcW w:w="755" w:type="dxa"/>
            <w:tcBorders>
              <w:top w:val="single" w:sz="4" w:space="0" w:color="auto"/>
              <w:left w:val="single" w:sz="4" w:space="0" w:color="auto"/>
            </w:tcBorders>
            <w:shd w:val="clear" w:color="auto" w:fill="FFFFFF"/>
            <w:vAlign w:val="bottom"/>
          </w:tcPr>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lastRenderedPageBreak/>
              <w:t>1</w:t>
            </w:r>
          </w:p>
        </w:tc>
        <w:tc>
          <w:tcPr>
            <w:tcW w:w="1372" w:type="dxa"/>
            <w:tcBorders>
              <w:top w:val="single" w:sz="4" w:space="0" w:color="auto"/>
              <w:left w:val="single" w:sz="4" w:space="0" w:color="auto"/>
            </w:tcBorders>
            <w:shd w:val="clear" w:color="auto" w:fill="FFFFFF"/>
            <w:vAlign w:val="bottom"/>
          </w:tcPr>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t>2</w:t>
            </w:r>
          </w:p>
        </w:tc>
        <w:tc>
          <w:tcPr>
            <w:tcW w:w="1400" w:type="dxa"/>
            <w:tcBorders>
              <w:top w:val="single" w:sz="4" w:space="0" w:color="auto"/>
              <w:left w:val="single" w:sz="4" w:space="0" w:color="auto"/>
            </w:tcBorders>
            <w:shd w:val="clear" w:color="auto" w:fill="FFFFFF"/>
          </w:tcPr>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t>3</w:t>
            </w:r>
          </w:p>
        </w:tc>
        <w:tc>
          <w:tcPr>
            <w:tcW w:w="2324" w:type="dxa"/>
            <w:tcBorders>
              <w:top w:val="single" w:sz="4" w:space="0" w:color="auto"/>
              <w:left w:val="single" w:sz="4" w:space="0" w:color="auto"/>
            </w:tcBorders>
            <w:shd w:val="clear" w:color="auto" w:fill="FFFFFF"/>
          </w:tcPr>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t>4</w:t>
            </w:r>
          </w:p>
        </w:tc>
        <w:tc>
          <w:tcPr>
            <w:tcW w:w="2757" w:type="dxa"/>
            <w:tcBorders>
              <w:top w:val="single" w:sz="4" w:space="0" w:color="auto"/>
              <w:left w:val="single" w:sz="4" w:space="0" w:color="auto"/>
            </w:tcBorders>
            <w:shd w:val="clear" w:color="auto" w:fill="FFFFFF"/>
          </w:tcPr>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t>5</w:t>
            </w:r>
          </w:p>
        </w:tc>
        <w:tc>
          <w:tcPr>
            <w:tcW w:w="3653" w:type="dxa"/>
            <w:tcBorders>
              <w:top w:val="single" w:sz="4" w:space="0" w:color="auto"/>
              <w:left w:val="single" w:sz="4" w:space="0" w:color="auto"/>
            </w:tcBorders>
            <w:shd w:val="clear" w:color="auto" w:fill="FFFFFF"/>
            <w:vAlign w:val="bottom"/>
          </w:tcPr>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t>6</w:t>
            </w:r>
          </w:p>
        </w:tc>
        <w:tc>
          <w:tcPr>
            <w:tcW w:w="3084" w:type="dxa"/>
            <w:tcBorders>
              <w:top w:val="single" w:sz="4" w:space="0" w:color="auto"/>
              <w:left w:val="single" w:sz="4" w:space="0" w:color="auto"/>
              <w:right w:val="single" w:sz="4" w:space="0" w:color="auto"/>
            </w:tcBorders>
            <w:shd w:val="clear" w:color="auto" w:fill="FFFFFF"/>
          </w:tcPr>
          <w:p w:rsidR="00743425" w:rsidRPr="00DE3AC6" w:rsidRDefault="00F53DEE" w:rsidP="00945D02">
            <w:pPr>
              <w:pStyle w:val="Bodytext20"/>
              <w:shd w:val="clear" w:color="auto" w:fill="auto"/>
              <w:spacing w:before="0" w:after="120" w:line="240" w:lineRule="auto"/>
              <w:ind w:left="23"/>
              <w:jc w:val="center"/>
              <w:rPr>
                <w:rFonts w:ascii="Sylfaen" w:hAnsi="Sylfaen"/>
                <w:sz w:val="20"/>
                <w:szCs w:val="20"/>
              </w:rPr>
            </w:pPr>
            <w:r w:rsidRPr="00DE3AC6">
              <w:rPr>
                <w:rStyle w:val="Bodytext212pt"/>
                <w:rFonts w:ascii="Sylfaen" w:hAnsi="Sylfaen"/>
                <w:sz w:val="20"/>
                <w:szCs w:val="20"/>
              </w:rPr>
              <w:t>7</w:t>
            </w:r>
          </w:p>
        </w:tc>
      </w:tr>
      <w:tr w:rsidR="00945D02" w:rsidRPr="00DE3AC6" w:rsidTr="00945D02">
        <w:trPr>
          <w:jc w:val="center"/>
        </w:trPr>
        <w:tc>
          <w:tcPr>
            <w:tcW w:w="755" w:type="dxa"/>
            <w:tcBorders>
              <w:top w:val="single" w:sz="4" w:space="0" w:color="auto"/>
              <w:left w:val="single" w:sz="4" w:space="0" w:color="auto"/>
              <w:bottom w:val="single" w:sz="4" w:space="0" w:color="auto"/>
            </w:tcBorders>
            <w:shd w:val="clear" w:color="auto" w:fill="FFFFFF"/>
          </w:tcPr>
          <w:p w:rsidR="00743425" w:rsidRPr="00DE3AC6" w:rsidRDefault="00743425" w:rsidP="00945D02">
            <w:pPr>
              <w:spacing w:after="120"/>
              <w:ind w:left="23"/>
              <w:rPr>
                <w:sz w:val="20"/>
                <w:szCs w:val="20"/>
              </w:rPr>
            </w:pPr>
          </w:p>
        </w:tc>
        <w:tc>
          <w:tcPr>
            <w:tcW w:w="1372" w:type="dxa"/>
            <w:tcBorders>
              <w:top w:val="single" w:sz="4" w:space="0" w:color="auto"/>
              <w:left w:val="single" w:sz="4" w:space="0" w:color="auto"/>
              <w:bottom w:val="single" w:sz="4" w:space="0" w:color="auto"/>
            </w:tcBorders>
            <w:shd w:val="clear" w:color="auto" w:fill="FFFFFF"/>
          </w:tcPr>
          <w:p w:rsidR="00743425" w:rsidRPr="00DE3AC6" w:rsidRDefault="00743425" w:rsidP="00945D02">
            <w:pPr>
              <w:spacing w:after="120"/>
              <w:ind w:left="23"/>
              <w:rPr>
                <w:sz w:val="20"/>
                <w:szCs w:val="20"/>
              </w:rPr>
            </w:pPr>
          </w:p>
        </w:tc>
        <w:tc>
          <w:tcPr>
            <w:tcW w:w="1400" w:type="dxa"/>
            <w:tcBorders>
              <w:top w:val="single" w:sz="4" w:space="0" w:color="auto"/>
              <w:left w:val="single" w:sz="4" w:space="0" w:color="auto"/>
              <w:bottom w:val="single" w:sz="4" w:space="0" w:color="auto"/>
            </w:tcBorders>
            <w:shd w:val="clear" w:color="auto" w:fill="FFFFFF"/>
          </w:tcPr>
          <w:p w:rsidR="00743425" w:rsidRPr="00DE3AC6" w:rsidRDefault="00743425" w:rsidP="00945D02">
            <w:pPr>
              <w:spacing w:after="120"/>
              <w:ind w:left="23"/>
              <w:rPr>
                <w:sz w:val="20"/>
                <w:szCs w:val="20"/>
              </w:rPr>
            </w:pPr>
          </w:p>
        </w:tc>
        <w:tc>
          <w:tcPr>
            <w:tcW w:w="2324" w:type="dxa"/>
            <w:tcBorders>
              <w:top w:val="single" w:sz="4" w:space="0" w:color="auto"/>
              <w:left w:val="single" w:sz="4" w:space="0" w:color="auto"/>
              <w:bottom w:val="single" w:sz="4" w:space="0" w:color="auto"/>
            </w:tcBorders>
            <w:shd w:val="clear" w:color="auto" w:fill="FFFFFF"/>
          </w:tcPr>
          <w:p w:rsidR="00743425" w:rsidRPr="00DE3AC6" w:rsidRDefault="00743425" w:rsidP="00945D02">
            <w:pPr>
              <w:spacing w:after="120"/>
              <w:ind w:left="23"/>
              <w:rPr>
                <w:sz w:val="20"/>
                <w:szCs w:val="20"/>
              </w:rPr>
            </w:pPr>
          </w:p>
        </w:tc>
        <w:tc>
          <w:tcPr>
            <w:tcW w:w="2757" w:type="dxa"/>
            <w:tcBorders>
              <w:top w:val="single" w:sz="4" w:space="0" w:color="auto"/>
              <w:left w:val="single" w:sz="4" w:space="0" w:color="auto"/>
              <w:bottom w:val="single" w:sz="4" w:space="0" w:color="auto"/>
            </w:tcBorders>
            <w:shd w:val="clear" w:color="auto" w:fill="FFFFFF"/>
          </w:tcPr>
          <w:p w:rsidR="00743425" w:rsidRPr="00DE3AC6" w:rsidRDefault="00743425" w:rsidP="00945D02">
            <w:pPr>
              <w:spacing w:after="120"/>
              <w:ind w:left="23"/>
              <w:rPr>
                <w:sz w:val="20"/>
                <w:szCs w:val="20"/>
              </w:rPr>
            </w:pPr>
          </w:p>
        </w:tc>
        <w:tc>
          <w:tcPr>
            <w:tcW w:w="3653" w:type="dxa"/>
            <w:tcBorders>
              <w:top w:val="single" w:sz="4" w:space="0" w:color="auto"/>
              <w:left w:val="single" w:sz="4" w:space="0" w:color="auto"/>
              <w:bottom w:val="single" w:sz="4" w:space="0" w:color="auto"/>
            </w:tcBorders>
            <w:shd w:val="clear" w:color="auto" w:fill="FFFFFF"/>
          </w:tcPr>
          <w:p w:rsidR="00743425" w:rsidRPr="00DE3AC6" w:rsidRDefault="00743425" w:rsidP="00945D02">
            <w:pPr>
              <w:spacing w:after="120"/>
              <w:ind w:left="23"/>
              <w:rPr>
                <w:sz w:val="20"/>
                <w:szCs w:val="20"/>
              </w:rPr>
            </w:pPr>
          </w:p>
        </w:tc>
        <w:tc>
          <w:tcPr>
            <w:tcW w:w="3084" w:type="dxa"/>
            <w:tcBorders>
              <w:top w:val="single" w:sz="4" w:space="0" w:color="auto"/>
              <w:left w:val="single" w:sz="4" w:space="0" w:color="auto"/>
              <w:bottom w:val="single" w:sz="4" w:space="0" w:color="auto"/>
              <w:right w:val="single" w:sz="4" w:space="0" w:color="auto"/>
            </w:tcBorders>
            <w:shd w:val="clear" w:color="auto" w:fill="FFFFFF"/>
          </w:tcPr>
          <w:p w:rsidR="00743425" w:rsidRPr="00DE3AC6" w:rsidRDefault="00743425" w:rsidP="00945D02">
            <w:pPr>
              <w:spacing w:after="120"/>
              <w:ind w:left="23"/>
              <w:rPr>
                <w:sz w:val="20"/>
                <w:szCs w:val="20"/>
              </w:rPr>
            </w:pPr>
          </w:p>
        </w:tc>
      </w:tr>
    </w:tbl>
    <w:p w:rsidR="00743425" w:rsidRPr="00DE3AC6" w:rsidRDefault="00743425" w:rsidP="00295C92">
      <w:pPr>
        <w:spacing w:after="160" w:line="360" w:lineRule="auto"/>
        <w:ind w:left="20"/>
        <w:rPr>
          <w:lang w:val="en-US"/>
        </w:rPr>
      </w:pPr>
    </w:p>
    <w:p w:rsidR="00945D02" w:rsidRPr="00945D02" w:rsidRDefault="00945D02" w:rsidP="00945D02">
      <w:pPr>
        <w:spacing w:after="160" w:line="360" w:lineRule="auto"/>
        <w:ind w:left="20"/>
        <w:jc w:val="center"/>
        <w:rPr>
          <w:lang w:val="en-US"/>
        </w:rPr>
      </w:pPr>
      <w:r w:rsidRPr="00DE3AC6">
        <w:rPr>
          <w:lang w:val="en-US"/>
        </w:rPr>
        <w:t>___________</w:t>
      </w:r>
      <w:r w:rsidR="00317587" w:rsidRPr="00DE3AC6">
        <w:rPr>
          <w:lang w:val="en-US"/>
        </w:rPr>
        <w:t>__</w:t>
      </w:r>
      <w:r w:rsidRPr="00DE3AC6">
        <w:rPr>
          <w:lang w:val="en-US"/>
        </w:rPr>
        <w:t>_</w:t>
      </w:r>
    </w:p>
    <w:sectPr w:rsidR="00945D02" w:rsidRPr="00945D02" w:rsidSect="00DF69DB">
      <w:pgSz w:w="16840" w:h="11907" w:orient="landscape" w:code="9"/>
      <w:pgMar w:top="1418" w:right="1418" w:bottom="1418" w:left="1418" w:header="0" w:footer="66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594" w:rsidRDefault="00880594" w:rsidP="00743425">
      <w:r>
        <w:separator/>
      </w:r>
    </w:p>
  </w:endnote>
  <w:endnote w:type="continuationSeparator" w:id="0">
    <w:p w:rsidR="00880594" w:rsidRDefault="00880594" w:rsidP="0074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594" w:rsidRDefault="00880594"/>
  </w:footnote>
  <w:footnote w:type="continuationSeparator" w:id="0">
    <w:p w:rsidR="00880594" w:rsidRDefault="008805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25" w:rsidRDefault="00743425">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25" w:rsidRDefault="00743425">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413F5"/>
    <w:multiLevelType w:val="multilevel"/>
    <w:tmpl w:val="DDF25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B9553E9"/>
    <w:multiLevelType w:val="multilevel"/>
    <w:tmpl w:val="C1DA3D6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3A6595"/>
    <w:multiLevelType w:val="multilevel"/>
    <w:tmpl w:val="BDA85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743425"/>
    <w:rsid w:val="00000FDB"/>
    <w:rsid w:val="0000366F"/>
    <w:rsid w:val="00011864"/>
    <w:rsid w:val="000219EF"/>
    <w:rsid w:val="00024326"/>
    <w:rsid w:val="000264F9"/>
    <w:rsid w:val="00033285"/>
    <w:rsid w:val="0004693E"/>
    <w:rsid w:val="00052D93"/>
    <w:rsid w:val="00060044"/>
    <w:rsid w:val="00083BF6"/>
    <w:rsid w:val="000847FD"/>
    <w:rsid w:val="000A5B7E"/>
    <w:rsid w:val="000B41E4"/>
    <w:rsid w:val="000B6AFA"/>
    <w:rsid w:val="000B70FE"/>
    <w:rsid w:val="000D0C29"/>
    <w:rsid w:val="000E0DF5"/>
    <w:rsid w:val="000E76EF"/>
    <w:rsid w:val="000F50FE"/>
    <w:rsid w:val="00120104"/>
    <w:rsid w:val="00134890"/>
    <w:rsid w:val="00145155"/>
    <w:rsid w:val="0015281D"/>
    <w:rsid w:val="00167338"/>
    <w:rsid w:val="00193641"/>
    <w:rsid w:val="0019766B"/>
    <w:rsid w:val="001A16ED"/>
    <w:rsid w:val="001A5698"/>
    <w:rsid w:val="001B62E6"/>
    <w:rsid w:val="001C25C1"/>
    <w:rsid w:val="001C722A"/>
    <w:rsid w:val="001D5A67"/>
    <w:rsid w:val="001F0AEA"/>
    <w:rsid w:val="00205066"/>
    <w:rsid w:val="002302EC"/>
    <w:rsid w:val="00234659"/>
    <w:rsid w:val="00246AF5"/>
    <w:rsid w:val="002545E0"/>
    <w:rsid w:val="002877F4"/>
    <w:rsid w:val="00295C92"/>
    <w:rsid w:val="002A4413"/>
    <w:rsid w:val="002D216F"/>
    <w:rsid w:val="002E190E"/>
    <w:rsid w:val="002E2912"/>
    <w:rsid w:val="00317587"/>
    <w:rsid w:val="00317AC5"/>
    <w:rsid w:val="003310CC"/>
    <w:rsid w:val="003319E2"/>
    <w:rsid w:val="00343849"/>
    <w:rsid w:val="00376480"/>
    <w:rsid w:val="0038284E"/>
    <w:rsid w:val="0038377E"/>
    <w:rsid w:val="003C7CA9"/>
    <w:rsid w:val="003D2705"/>
    <w:rsid w:val="003D655F"/>
    <w:rsid w:val="003E7712"/>
    <w:rsid w:val="003F3B97"/>
    <w:rsid w:val="003F5419"/>
    <w:rsid w:val="00402528"/>
    <w:rsid w:val="00415F2A"/>
    <w:rsid w:val="0043485D"/>
    <w:rsid w:val="004414D1"/>
    <w:rsid w:val="00462FA0"/>
    <w:rsid w:val="00464481"/>
    <w:rsid w:val="00464AE0"/>
    <w:rsid w:val="00476140"/>
    <w:rsid w:val="004A34A6"/>
    <w:rsid w:val="004B6CCD"/>
    <w:rsid w:val="004C0AED"/>
    <w:rsid w:val="004F38C4"/>
    <w:rsid w:val="00501F6F"/>
    <w:rsid w:val="00515232"/>
    <w:rsid w:val="00515E6D"/>
    <w:rsid w:val="00553FA1"/>
    <w:rsid w:val="005710D2"/>
    <w:rsid w:val="0057599F"/>
    <w:rsid w:val="005767D9"/>
    <w:rsid w:val="00587B0A"/>
    <w:rsid w:val="00590804"/>
    <w:rsid w:val="005B2935"/>
    <w:rsid w:val="005D3DFA"/>
    <w:rsid w:val="005E635C"/>
    <w:rsid w:val="005F1199"/>
    <w:rsid w:val="005F2075"/>
    <w:rsid w:val="005F6754"/>
    <w:rsid w:val="00604868"/>
    <w:rsid w:val="006238C1"/>
    <w:rsid w:val="006453B0"/>
    <w:rsid w:val="0068452F"/>
    <w:rsid w:val="006B5B40"/>
    <w:rsid w:val="006B6E98"/>
    <w:rsid w:val="006C6D98"/>
    <w:rsid w:val="006D716A"/>
    <w:rsid w:val="006E4384"/>
    <w:rsid w:val="0070777D"/>
    <w:rsid w:val="0071685C"/>
    <w:rsid w:val="00743425"/>
    <w:rsid w:val="0076302B"/>
    <w:rsid w:val="00787305"/>
    <w:rsid w:val="00792476"/>
    <w:rsid w:val="007B6F53"/>
    <w:rsid w:val="007C269D"/>
    <w:rsid w:val="007C4335"/>
    <w:rsid w:val="007D28D5"/>
    <w:rsid w:val="007F12A6"/>
    <w:rsid w:val="00800B60"/>
    <w:rsid w:val="00817D0A"/>
    <w:rsid w:val="008226B3"/>
    <w:rsid w:val="00824E14"/>
    <w:rsid w:val="00826997"/>
    <w:rsid w:val="008279F7"/>
    <w:rsid w:val="00835924"/>
    <w:rsid w:val="0085095D"/>
    <w:rsid w:val="00856913"/>
    <w:rsid w:val="00866694"/>
    <w:rsid w:val="00880594"/>
    <w:rsid w:val="00883FD1"/>
    <w:rsid w:val="008913D2"/>
    <w:rsid w:val="00891942"/>
    <w:rsid w:val="0089644D"/>
    <w:rsid w:val="008C44DC"/>
    <w:rsid w:val="008C6303"/>
    <w:rsid w:val="008D5CA0"/>
    <w:rsid w:val="008E4F30"/>
    <w:rsid w:val="008F070F"/>
    <w:rsid w:val="008F308F"/>
    <w:rsid w:val="00900DC1"/>
    <w:rsid w:val="00905869"/>
    <w:rsid w:val="00940B56"/>
    <w:rsid w:val="00945B1A"/>
    <w:rsid w:val="00945D02"/>
    <w:rsid w:val="00956EAC"/>
    <w:rsid w:val="009952FC"/>
    <w:rsid w:val="00997704"/>
    <w:rsid w:val="009B3427"/>
    <w:rsid w:val="009D4789"/>
    <w:rsid w:val="009D5927"/>
    <w:rsid w:val="009E39C4"/>
    <w:rsid w:val="009E4C1D"/>
    <w:rsid w:val="009E6551"/>
    <w:rsid w:val="009F58E6"/>
    <w:rsid w:val="00A1204F"/>
    <w:rsid w:val="00A21C5A"/>
    <w:rsid w:val="00A221CD"/>
    <w:rsid w:val="00A46A5C"/>
    <w:rsid w:val="00A47AB6"/>
    <w:rsid w:val="00A6131E"/>
    <w:rsid w:val="00AA0838"/>
    <w:rsid w:val="00AC36E3"/>
    <w:rsid w:val="00AC7D2B"/>
    <w:rsid w:val="00AD5B94"/>
    <w:rsid w:val="00AE2C5B"/>
    <w:rsid w:val="00AF0BFE"/>
    <w:rsid w:val="00B12224"/>
    <w:rsid w:val="00B31C3E"/>
    <w:rsid w:val="00B37913"/>
    <w:rsid w:val="00B61EAE"/>
    <w:rsid w:val="00B65C33"/>
    <w:rsid w:val="00B67353"/>
    <w:rsid w:val="00B831DC"/>
    <w:rsid w:val="00B907A5"/>
    <w:rsid w:val="00BA4EC7"/>
    <w:rsid w:val="00BB6DD7"/>
    <w:rsid w:val="00BB6FC8"/>
    <w:rsid w:val="00BC2007"/>
    <w:rsid w:val="00BC5649"/>
    <w:rsid w:val="00BD3646"/>
    <w:rsid w:val="00BE4FAB"/>
    <w:rsid w:val="00C02567"/>
    <w:rsid w:val="00C05768"/>
    <w:rsid w:val="00C27081"/>
    <w:rsid w:val="00C32C38"/>
    <w:rsid w:val="00C524A0"/>
    <w:rsid w:val="00C72686"/>
    <w:rsid w:val="00C81B4E"/>
    <w:rsid w:val="00C96537"/>
    <w:rsid w:val="00C96FF4"/>
    <w:rsid w:val="00CA61AE"/>
    <w:rsid w:val="00CB5E91"/>
    <w:rsid w:val="00CE4DF3"/>
    <w:rsid w:val="00CF22AD"/>
    <w:rsid w:val="00D213DD"/>
    <w:rsid w:val="00D25EEE"/>
    <w:rsid w:val="00D4446C"/>
    <w:rsid w:val="00D60117"/>
    <w:rsid w:val="00D80EAD"/>
    <w:rsid w:val="00D813E7"/>
    <w:rsid w:val="00D845C7"/>
    <w:rsid w:val="00D86317"/>
    <w:rsid w:val="00DA634B"/>
    <w:rsid w:val="00DA6872"/>
    <w:rsid w:val="00DD0BEA"/>
    <w:rsid w:val="00DD327F"/>
    <w:rsid w:val="00DD5925"/>
    <w:rsid w:val="00DE3114"/>
    <w:rsid w:val="00DE3AC6"/>
    <w:rsid w:val="00DF69DB"/>
    <w:rsid w:val="00E16D66"/>
    <w:rsid w:val="00E22E65"/>
    <w:rsid w:val="00E32F9D"/>
    <w:rsid w:val="00E51241"/>
    <w:rsid w:val="00E558FC"/>
    <w:rsid w:val="00E634DE"/>
    <w:rsid w:val="00E91889"/>
    <w:rsid w:val="00E93955"/>
    <w:rsid w:val="00EA1285"/>
    <w:rsid w:val="00EA3AE1"/>
    <w:rsid w:val="00EB64C5"/>
    <w:rsid w:val="00EB6B04"/>
    <w:rsid w:val="00EC6E4A"/>
    <w:rsid w:val="00ED0C4C"/>
    <w:rsid w:val="00EE0EE4"/>
    <w:rsid w:val="00EF2CA2"/>
    <w:rsid w:val="00EF424B"/>
    <w:rsid w:val="00F0022C"/>
    <w:rsid w:val="00F16495"/>
    <w:rsid w:val="00F53DEE"/>
    <w:rsid w:val="00F74B96"/>
    <w:rsid w:val="00F75777"/>
    <w:rsid w:val="00F831F5"/>
    <w:rsid w:val="00F93C43"/>
    <w:rsid w:val="00F97090"/>
    <w:rsid w:val="00FB2CCB"/>
    <w:rsid w:val="00FC2140"/>
    <w:rsid w:val="00FD05E5"/>
    <w:rsid w:val="00FE0DFE"/>
    <w:rsid w:val="00FE213F"/>
    <w:rsid w:val="00FE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342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3425"/>
    <w:rPr>
      <w:color w:val="0066CC"/>
      <w:u w:val="single"/>
    </w:rPr>
  </w:style>
  <w:style w:type="character" w:customStyle="1" w:styleId="Bodytext3">
    <w:name w:val="Body text (3)_"/>
    <w:basedOn w:val="DefaultParagraphFont"/>
    <w:link w:val="Bodytext30"/>
    <w:rsid w:val="00743425"/>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743425"/>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sid w:val="00743425"/>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743425"/>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743425"/>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743425"/>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Bold0">
    <w:name w:val="Body text (2) + Bold"/>
    <w:aliases w:val="Spacing 2 pt"/>
    <w:basedOn w:val="Bodytext2"/>
    <w:rsid w:val="0074342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ing2Spacing2pt">
    <w:name w:val="Heading #2 + Spacing 2 pt"/>
    <w:basedOn w:val="Heading2"/>
    <w:rsid w:val="0074342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erorfooter">
    <w:name w:val="Header or footer_"/>
    <w:basedOn w:val="DefaultParagraphFont"/>
    <w:link w:val="Headerorfooter0"/>
    <w:rsid w:val="00743425"/>
    <w:rPr>
      <w:rFonts w:ascii="Times New Roman" w:eastAsia="Times New Roman" w:hAnsi="Times New Roman" w:cs="Times New Roman"/>
      <w:b w:val="0"/>
      <w:bCs w:val="0"/>
      <w:i w:val="0"/>
      <w:iCs w:val="0"/>
      <w:smallCaps w:val="0"/>
      <w:strike w:val="0"/>
      <w:sz w:val="28"/>
      <w:szCs w:val="28"/>
      <w:u w:val="none"/>
    </w:rPr>
  </w:style>
  <w:style w:type="character" w:customStyle="1" w:styleId="Headerorfooter1">
    <w:name w:val="Header or footer"/>
    <w:basedOn w:val="Headerorfooter"/>
    <w:rsid w:val="007434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12pt">
    <w:name w:val="Body text (2) + 12 pt"/>
    <w:basedOn w:val="Bodytext2"/>
    <w:rsid w:val="007434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4">
    <w:name w:val="Body text (4)_"/>
    <w:basedOn w:val="DefaultParagraphFont"/>
    <w:link w:val="Bodytext40"/>
    <w:rsid w:val="00743425"/>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
    <w:basedOn w:val="DefaultParagraphFont"/>
    <w:rsid w:val="00743425"/>
    <w:rPr>
      <w:rFonts w:ascii="Times New Roman" w:eastAsia="Times New Roman" w:hAnsi="Times New Roman" w:cs="Times New Roman"/>
      <w:b w:val="0"/>
      <w:bCs w:val="0"/>
      <w:i w:val="0"/>
      <w:iCs w:val="0"/>
      <w:smallCaps w:val="0"/>
      <w:strike w:val="0"/>
      <w:u w:val="none"/>
    </w:rPr>
  </w:style>
  <w:style w:type="paragraph" w:customStyle="1" w:styleId="Bodytext30">
    <w:name w:val="Body text (3)"/>
    <w:basedOn w:val="Normal"/>
    <w:link w:val="Bodytext3"/>
    <w:rsid w:val="00743425"/>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743425"/>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743425"/>
    <w:pPr>
      <w:shd w:val="clear" w:color="auto" w:fill="FFFFFF"/>
      <w:spacing w:before="1020" w:after="420" w:line="0" w:lineRule="atLeast"/>
      <w:jc w:val="right"/>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743425"/>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743425"/>
    <w:pPr>
      <w:shd w:val="clear" w:color="auto" w:fill="FFFFFF"/>
      <w:spacing w:line="0" w:lineRule="atLeast"/>
    </w:pPr>
    <w:rPr>
      <w:rFonts w:ascii="Times New Roman" w:eastAsia="Times New Roman" w:hAnsi="Times New Roman" w:cs="Times New Roman"/>
      <w:sz w:val="28"/>
      <w:szCs w:val="28"/>
    </w:rPr>
  </w:style>
  <w:style w:type="paragraph" w:customStyle="1" w:styleId="Bodytext40">
    <w:name w:val="Body text (4)"/>
    <w:basedOn w:val="Normal"/>
    <w:link w:val="Bodytext4"/>
    <w:rsid w:val="00743425"/>
    <w:pPr>
      <w:shd w:val="clear" w:color="auto" w:fill="FFFFFF"/>
      <w:spacing w:line="317" w:lineRule="exact"/>
      <w:jc w:val="both"/>
    </w:pPr>
    <w:rPr>
      <w:rFonts w:ascii="Times New Roman" w:eastAsia="Times New Roman" w:hAnsi="Times New Roman" w:cs="Times New Roman"/>
    </w:rPr>
  </w:style>
  <w:style w:type="table" w:styleId="TableGrid">
    <w:name w:val="Table Grid"/>
    <w:basedOn w:val="TableNormal"/>
    <w:uiPriority w:val="59"/>
    <w:rsid w:val="009E6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83BF6"/>
    <w:pPr>
      <w:tabs>
        <w:tab w:val="center" w:pos="4680"/>
        <w:tab w:val="right" w:pos="9360"/>
      </w:tabs>
    </w:pPr>
  </w:style>
  <w:style w:type="character" w:customStyle="1" w:styleId="FooterChar">
    <w:name w:val="Footer Char"/>
    <w:basedOn w:val="DefaultParagraphFont"/>
    <w:link w:val="Footer"/>
    <w:uiPriority w:val="99"/>
    <w:rsid w:val="00083BF6"/>
    <w:rPr>
      <w:color w:val="000000"/>
    </w:rPr>
  </w:style>
  <w:style w:type="paragraph" w:styleId="Header">
    <w:name w:val="header"/>
    <w:basedOn w:val="Normal"/>
    <w:link w:val="HeaderChar"/>
    <w:uiPriority w:val="99"/>
    <w:semiHidden/>
    <w:unhideWhenUsed/>
    <w:rsid w:val="0019766B"/>
    <w:pPr>
      <w:tabs>
        <w:tab w:val="center" w:pos="4680"/>
        <w:tab w:val="right" w:pos="9360"/>
      </w:tabs>
    </w:pPr>
  </w:style>
  <w:style w:type="character" w:customStyle="1" w:styleId="HeaderChar">
    <w:name w:val="Header Char"/>
    <w:basedOn w:val="DefaultParagraphFont"/>
    <w:link w:val="Header"/>
    <w:uiPriority w:val="99"/>
    <w:semiHidden/>
    <w:rsid w:val="0019766B"/>
    <w:rPr>
      <w:color w:val="000000"/>
    </w:rPr>
  </w:style>
  <w:style w:type="paragraph" w:styleId="BalloonText">
    <w:name w:val="Balloon Text"/>
    <w:basedOn w:val="Normal"/>
    <w:link w:val="BalloonTextChar"/>
    <w:uiPriority w:val="99"/>
    <w:semiHidden/>
    <w:unhideWhenUsed/>
    <w:rsid w:val="006238C1"/>
    <w:rPr>
      <w:rFonts w:ascii="Tahoma" w:hAnsi="Tahoma" w:cs="Tahoma"/>
      <w:sz w:val="16"/>
      <w:szCs w:val="16"/>
    </w:rPr>
  </w:style>
  <w:style w:type="character" w:customStyle="1" w:styleId="BalloonTextChar">
    <w:name w:val="Balloon Text Char"/>
    <w:basedOn w:val="DefaultParagraphFont"/>
    <w:link w:val="BalloonText"/>
    <w:uiPriority w:val="99"/>
    <w:semiHidden/>
    <w:rsid w:val="006238C1"/>
    <w:rPr>
      <w:rFonts w:ascii="Tahoma" w:hAnsi="Tahoma" w:cs="Tahoma"/>
      <w:color w:val="000000"/>
      <w:sz w:val="16"/>
      <w:szCs w:val="16"/>
    </w:rPr>
  </w:style>
  <w:style w:type="character" w:styleId="CommentReference">
    <w:name w:val="annotation reference"/>
    <w:basedOn w:val="DefaultParagraphFont"/>
    <w:uiPriority w:val="99"/>
    <w:semiHidden/>
    <w:unhideWhenUsed/>
    <w:rsid w:val="000B41E4"/>
    <w:rPr>
      <w:sz w:val="16"/>
      <w:szCs w:val="16"/>
    </w:rPr>
  </w:style>
  <w:style w:type="paragraph" w:styleId="CommentText">
    <w:name w:val="annotation text"/>
    <w:basedOn w:val="Normal"/>
    <w:link w:val="CommentTextChar"/>
    <w:uiPriority w:val="99"/>
    <w:semiHidden/>
    <w:unhideWhenUsed/>
    <w:rsid w:val="000B41E4"/>
    <w:rPr>
      <w:sz w:val="20"/>
      <w:szCs w:val="20"/>
    </w:rPr>
  </w:style>
  <w:style w:type="character" w:customStyle="1" w:styleId="CommentTextChar">
    <w:name w:val="Comment Text Char"/>
    <w:basedOn w:val="DefaultParagraphFont"/>
    <w:link w:val="CommentText"/>
    <w:uiPriority w:val="99"/>
    <w:semiHidden/>
    <w:rsid w:val="000B41E4"/>
    <w:rPr>
      <w:color w:val="000000"/>
      <w:sz w:val="20"/>
      <w:szCs w:val="20"/>
    </w:rPr>
  </w:style>
  <w:style w:type="paragraph" w:styleId="CommentSubject">
    <w:name w:val="annotation subject"/>
    <w:basedOn w:val="CommentText"/>
    <w:next w:val="CommentText"/>
    <w:link w:val="CommentSubjectChar"/>
    <w:uiPriority w:val="99"/>
    <w:semiHidden/>
    <w:unhideWhenUsed/>
    <w:rsid w:val="000B41E4"/>
    <w:rPr>
      <w:b/>
      <w:bCs/>
    </w:rPr>
  </w:style>
  <w:style w:type="character" w:customStyle="1" w:styleId="CommentSubjectChar">
    <w:name w:val="Comment Subject Char"/>
    <w:basedOn w:val="CommentTextChar"/>
    <w:link w:val="CommentSubject"/>
    <w:uiPriority w:val="99"/>
    <w:semiHidden/>
    <w:rsid w:val="000B41E4"/>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10</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169</cp:revision>
  <dcterms:created xsi:type="dcterms:W3CDTF">2018-01-15T08:11:00Z</dcterms:created>
  <dcterms:modified xsi:type="dcterms:W3CDTF">2018-10-01T12:52:00Z</dcterms:modified>
</cp:coreProperties>
</file>