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F1" w:rsidRPr="00DE5807" w:rsidRDefault="00480954" w:rsidP="007E0989">
      <w:pPr>
        <w:pStyle w:val="Bodytext20"/>
        <w:shd w:val="clear" w:color="auto" w:fill="auto"/>
        <w:spacing w:before="0" w:after="160" w:line="360" w:lineRule="auto"/>
        <w:ind w:left="9072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E5807">
        <w:rPr>
          <w:rFonts w:ascii="Sylfaen" w:hAnsi="Sylfaen"/>
          <w:sz w:val="24"/>
          <w:szCs w:val="24"/>
        </w:rPr>
        <w:t>ՀԱՍՏԱՏՎԱԾ Է</w:t>
      </w:r>
    </w:p>
    <w:p w:rsidR="00520CF1" w:rsidRPr="00DE5807" w:rsidRDefault="00480954" w:rsidP="007E0989">
      <w:pPr>
        <w:pStyle w:val="Bodytext20"/>
        <w:shd w:val="clear" w:color="auto" w:fill="auto"/>
        <w:spacing w:before="0" w:after="160" w:line="360" w:lineRule="auto"/>
        <w:ind w:left="9072" w:firstLine="0"/>
        <w:jc w:val="center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 xml:space="preserve">Եվրասիական տնտեսական հանձնաժողովի խորհրդի 2017 թվականի հունվարի 13-ի </w:t>
      </w:r>
      <w:r w:rsidR="00214C17" w:rsidRPr="00DE5807">
        <w:rPr>
          <w:rFonts w:ascii="Sylfaen" w:hAnsi="Sylfaen"/>
          <w:sz w:val="24"/>
          <w:szCs w:val="24"/>
        </w:rPr>
        <w:br/>
      </w:r>
      <w:r w:rsidRPr="00DE5807">
        <w:rPr>
          <w:rFonts w:ascii="Sylfaen" w:hAnsi="Sylfaen"/>
          <w:sz w:val="24"/>
          <w:szCs w:val="24"/>
        </w:rPr>
        <w:t>թիվ 6 կարգադրությամբ</w:t>
      </w:r>
    </w:p>
    <w:p w:rsidR="002E4103" w:rsidRPr="00DE5807" w:rsidRDefault="002E4103" w:rsidP="00214C17">
      <w:pPr>
        <w:pStyle w:val="Heading20"/>
        <w:shd w:val="clear" w:color="auto" w:fill="auto"/>
        <w:spacing w:before="0" w:after="160" w:line="360" w:lineRule="auto"/>
        <w:outlineLvl w:val="9"/>
        <w:rPr>
          <w:rStyle w:val="Heading2Spacing4pt"/>
          <w:rFonts w:ascii="Sylfaen" w:hAnsi="Sylfaen"/>
          <w:b/>
          <w:bCs/>
          <w:spacing w:val="0"/>
          <w:sz w:val="24"/>
          <w:szCs w:val="24"/>
        </w:rPr>
      </w:pPr>
      <w:bookmarkStart w:id="1" w:name="bookmark1"/>
    </w:p>
    <w:bookmarkEnd w:id="1"/>
    <w:p w:rsidR="00520CF1" w:rsidRPr="00DE5807" w:rsidRDefault="00B45A6E" w:rsidP="00214C17">
      <w:pPr>
        <w:pStyle w:val="Heading2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r w:rsidRPr="00DE5807">
        <w:rPr>
          <w:rStyle w:val="Heading2Spacing4pt"/>
          <w:rFonts w:ascii="Sylfaen" w:hAnsi="Sylfaen"/>
          <w:b/>
          <w:spacing w:val="0"/>
          <w:sz w:val="24"/>
          <w:szCs w:val="24"/>
        </w:rPr>
        <w:t>ՊԼԱՆ</w:t>
      </w:r>
    </w:p>
    <w:p w:rsidR="00520CF1" w:rsidRPr="00DE5807" w:rsidRDefault="00480954" w:rsidP="00214C17">
      <w:pPr>
        <w:pStyle w:val="Heading3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2" w:name="bookmark2"/>
      <w:r w:rsidRPr="00DE5807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ստեղծման, գործունեության ապահովման </w:t>
      </w:r>
      <w:r w:rsidR="00214C17" w:rsidRPr="00DE5807">
        <w:rPr>
          <w:rFonts w:ascii="Sylfaen" w:hAnsi="Sylfaen"/>
          <w:sz w:val="24"/>
          <w:szCs w:val="24"/>
        </w:rPr>
        <w:t>եւ</w:t>
      </w:r>
      <w:r w:rsidRPr="00DE5807">
        <w:rPr>
          <w:rFonts w:ascii="Sylfaen" w:hAnsi="Sylfaen"/>
          <w:sz w:val="24"/>
          <w:szCs w:val="24"/>
        </w:rPr>
        <w:t xml:space="preserve"> զարգացման </w:t>
      </w:r>
      <w:r w:rsidR="00B45A6E" w:rsidRPr="00DE5807">
        <w:rPr>
          <w:rFonts w:ascii="Sylfaen" w:hAnsi="Sylfaen"/>
          <w:sz w:val="24"/>
          <w:szCs w:val="24"/>
        </w:rPr>
        <w:t xml:space="preserve">2017-2018 թվականների </w:t>
      </w:r>
      <w:r w:rsidRPr="00DE5807">
        <w:rPr>
          <w:rFonts w:ascii="Sylfaen" w:hAnsi="Sylfaen"/>
          <w:sz w:val="24"/>
          <w:szCs w:val="24"/>
        </w:rPr>
        <w:t xml:space="preserve">միջոցառումների </w:t>
      </w:r>
      <w:bookmarkEnd w:id="2"/>
    </w:p>
    <w:tbl>
      <w:tblPr>
        <w:tblOverlap w:val="never"/>
        <w:tblW w:w="146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8"/>
        <w:gridCol w:w="2855"/>
        <w:gridCol w:w="1714"/>
        <w:gridCol w:w="1566"/>
        <w:gridCol w:w="2290"/>
      </w:tblGrid>
      <w:tr w:rsidR="00520CF1" w:rsidRPr="00DE5807" w:rsidTr="0028115A">
        <w:trPr>
          <w:tblHeader/>
          <w:jc w:val="center"/>
        </w:trPr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Միջոցառում</w:t>
            </w:r>
            <w:r w:rsidR="00B45A6E" w:rsidRPr="00DE5807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Ակնկալվող արդյունք</w:t>
            </w:r>
            <w:r w:rsidR="00B45A6E" w:rsidRPr="00DE5807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Կատարման ժամկետ</w:t>
            </w:r>
            <w:r w:rsidR="00B45A6E" w:rsidRPr="00DE5807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Կատարող</w:t>
            </w:r>
            <w:r w:rsidR="00B45A6E" w:rsidRPr="00DE5807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520CF1" w:rsidRPr="00DE5807" w:rsidTr="0028115A">
        <w:trPr>
          <w:tblHeader/>
          <w:jc w:val="center"/>
        </w:trPr>
        <w:tc>
          <w:tcPr>
            <w:tcW w:w="6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0CF1" w:rsidRPr="00DE5807" w:rsidRDefault="00520CF1" w:rsidP="000775D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0CF1" w:rsidRPr="00DE5807" w:rsidRDefault="00520CF1" w:rsidP="000775D3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CF1" w:rsidRPr="00DE5807" w:rsidRDefault="00520CF1" w:rsidP="000775D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20CF1" w:rsidRPr="00DE5807" w:rsidTr="0028115A">
        <w:trPr>
          <w:tblHeader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520CF1" w:rsidRPr="00DE5807" w:rsidTr="0028115A">
        <w:trPr>
          <w:jc w:val="center"/>
        </w:trPr>
        <w:tc>
          <w:tcPr>
            <w:tcW w:w="62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0CF1" w:rsidRPr="00DE5807" w:rsidRDefault="00214C17" w:rsidP="000775D3">
            <w:pPr>
              <w:pStyle w:val="Bodytext20"/>
              <w:shd w:val="clear" w:color="auto" w:fill="auto"/>
              <w:tabs>
                <w:tab w:val="left" w:pos="39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Եվրասիական տնտեսական միության ինտեգրված տեղեկատվական համակարգի (այսուհետ համապատասխանաբար՝ </w:t>
            </w:r>
            <w:r w:rsidR="00A4006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Միություն, 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ինտեգրված համակարգ)</w:t>
            </w:r>
            <w:r w:rsidR="00A4006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ընդհանուր համակարգային նախագծում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, այդ թվում՝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520CF1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520CF1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520CF1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520CF1" w:rsidP="000775D3">
            <w:pPr>
              <w:spacing w:after="120"/>
              <w:rPr>
                <w:sz w:val="20"/>
                <w:szCs w:val="20"/>
              </w:rPr>
            </w:pPr>
          </w:p>
        </w:tc>
      </w:tr>
      <w:tr w:rsidR="00520CF1" w:rsidRPr="00DE5807" w:rsidTr="005B4016">
        <w:trPr>
          <w:jc w:val="center"/>
        </w:trPr>
        <w:tc>
          <w:tcPr>
            <w:tcW w:w="6228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Միության շրջանակներում ընդհանուր գործընթացների</w:t>
            </w:r>
            <w:r w:rsidR="00A4006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(այսուհետ՝ ընդհանուր գործընթացներ)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ցանկի թարմացում</w:t>
            </w:r>
          </w:p>
        </w:tc>
        <w:tc>
          <w:tcPr>
            <w:tcW w:w="2855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գործընթացների ցանկ</w:t>
            </w:r>
          </w:p>
        </w:tc>
        <w:tc>
          <w:tcPr>
            <w:tcW w:w="1714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Եվրասիական տնտեսական հանձնաժողով (այսուհետ՝ Հանձնաժողով), Միության անդամ պետությունների լիազորված մարմիններ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 xml:space="preserve">(այսուհետ </w:t>
            </w:r>
            <w:r w:rsidRPr="00DE5807">
              <w:rPr>
                <w:rStyle w:val="Bodytext212pt"/>
                <w:rFonts w:ascii="Sylfaen" w:hAnsi="Sylfaen"/>
                <w:spacing w:val="-6"/>
                <w:sz w:val="20"/>
                <w:szCs w:val="20"/>
              </w:rPr>
              <w:t xml:space="preserve">համապատասխանաբար՝ </w:t>
            </w:r>
            <w:r w:rsidR="00A40066" w:rsidRPr="00DE5807">
              <w:rPr>
                <w:rStyle w:val="Bodytext212pt"/>
                <w:rFonts w:ascii="Sylfaen" w:hAnsi="Sylfaen"/>
                <w:spacing w:val="-6"/>
                <w:sz w:val="20"/>
                <w:szCs w:val="20"/>
              </w:rPr>
              <w:t>անդա</w:t>
            </w:r>
            <w:r w:rsidR="00A4006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մ պետություններ,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մարմիններ)</w:t>
            </w:r>
          </w:p>
        </w:tc>
      </w:tr>
      <w:tr w:rsidR="0028115A" w:rsidRPr="00DE5807" w:rsidTr="0028115A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28115A" w:rsidRPr="00DE5807" w:rsidRDefault="0028115A" w:rsidP="000775D3">
            <w:pPr>
              <w:pStyle w:val="Bodytext20"/>
              <w:shd w:val="clear" w:color="auto" w:fill="auto"/>
              <w:tabs>
                <w:tab w:val="left" w:pos="847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բ)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տնտես</w:t>
            </w:r>
            <w:r w:rsidR="00A40066" w:rsidRPr="00DE5807">
              <w:rPr>
                <w:rStyle w:val="Bodytext212pt"/>
                <w:rFonts w:ascii="Sylfaen" w:hAnsi="Sylfaen"/>
                <w:sz w:val="20"/>
                <w:szCs w:val="20"/>
              </w:rPr>
              <w:t>ա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վարող սուբյեկտների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ֆիզիկական անձանց կողմից լիազորված մարմիններին էլեկտրոնային </w:t>
            </w:r>
            <w:r w:rsidR="00A4006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տարբերակով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տեղեկություններ ներկայացնելի</w:t>
            </w:r>
            <w:r w:rsidR="00A40066" w:rsidRPr="00DE5807">
              <w:rPr>
                <w:rStyle w:val="Bodytext212pt"/>
                <w:rFonts w:ascii="Sylfaen" w:hAnsi="Sylfaen"/>
                <w:sz w:val="20"/>
                <w:szCs w:val="20"/>
              </w:rPr>
              <w:t>ս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A4006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օգտագործվող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փաստաթղթերի էլեկտրոնային տարբերակին ներկայացվող պահանջների մշակում (այսուհետ՝ B2G փոխգործակցության ընթացակարգեր)</w:t>
            </w:r>
          </w:p>
        </w:tc>
        <w:tc>
          <w:tcPr>
            <w:tcW w:w="2855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փաստաթղթերի էլեկտրոնային տարբերակին ներկայացվող պահանջներ</w:t>
            </w:r>
          </w:p>
        </w:tc>
        <w:tc>
          <w:tcPr>
            <w:tcW w:w="1714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II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II-IV</w:t>
            </w:r>
            <w:r w:rsidR="00214C17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28115A" w:rsidRPr="00DE5807" w:rsidRDefault="00D5162D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</w:t>
            </w:r>
            <w:r w:rsidR="003763BC" w:rsidRPr="00DE5807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>, լիազորված մարմիններ</w:t>
            </w:r>
          </w:p>
        </w:tc>
      </w:tr>
      <w:tr w:rsidR="0028115A" w:rsidRPr="00DE5807" w:rsidTr="00F51C56">
        <w:trPr>
          <w:jc w:val="center"/>
        </w:trPr>
        <w:tc>
          <w:tcPr>
            <w:tcW w:w="6228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tabs>
                <w:tab w:val="left" w:pos="847"/>
              </w:tabs>
              <w:spacing w:before="0" w:after="6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B2G փոխգործակցության ընթացակարգերի իրականացմանը ներկայացվող միասնականացված պահանջների մշակում</w:t>
            </w:r>
            <w:r w:rsidR="006F3D87" w:rsidRPr="00DE5807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էլեկտրոնային </w:t>
            </w:r>
            <w:r w:rsidR="00AF1D0D" w:rsidRPr="00DE5807">
              <w:rPr>
                <w:rStyle w:val="Bodytext212pt"/>
                <w:rFonts w:ascii="Sylfaen" w:hAnsi="Sylfaen"/>
                <w:sz w:val="20"/>
                <w:szCs w:val="20"/>
              </w:rPr>
              <w:t>տարբերակով</w:t>
            </w:r>
          </w:p>
        </w:tc>
        <w:tc>
          <w:tcPr>
            <w:tcW w:w="2855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B2G փոխգործակցության ընթացակարգերին ներկայացվող պահանջներ</w:t>
            </w:r>
          </w:p>
        </w:tc>
        <w:tc>
          <w:tcPr>
            <w:tcW w:w="1714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1566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28115A" w:rsidRPr="00DE5807" w:rsidTr="0028115A">
        <w:trPr>
          <w:jc w:val="center"/>
        </w:trPr>
        <w:tc>
          <w:tcPr>
            <w:tcW w:w="6228" w:type="dxa"/>
            <w:shd w:val="clear" w:color="auto" w:fill="FFFFFF"/>
          </w:tcPr>
          <w:p w:rsidR="0028115A" w:rsidRPr="00DE5807" w:rsidRDefault="00FE368C" w:rsidP="000775D3">
            <w:pPr>
              <w:pStyle w:val="Bodytext20"/>
              <w:shd w:val="clear" w:color="auto" w:fill="auto"/>
              <w:tabs>
                <w:tab w:val="left" w:pos="847"/>
              </w:tabs>
              <w:spacing w:before="0" w:after="6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իրագործման համար առաջնահերթ միջպետական (անդրսահմանային) էլեկտրոնային ծառայությունների ցանկի մշակում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թարմացում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միջպետական (անդրսահմանային) էլեկտրոնային ծառայությունների ցանկ</w:t>
            </w:r>
          </w:p>
        </w:tc>
        <w:tc>
          <w:tcPr>
            <w:tcW w:w="1714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III-IV</w:t>
            </w:r>
            <w:r w:rsidR="00214C17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II-IV</w:t>
            </w:r>
            <w:r w:rsidR="00214C17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</w:tr>
      <w:tr w:rsidR="0028115A" w:rsidRPr="00DE5807" w:rsidTr="0028115A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28115A" w:rsidRPr="00DE5807" w:rsidRDefault="00FE368C" w:rsidP="007E0989">
            <w:pPr>
              <w:pStyle w:val="Bodytext20"/>
              <w:shd w:val="clear" w:color="auto" w:fill="auto"/>
              <w:tabs>
                <w:tab w:val="left" w:pos="819"/>
              </w:tabs>
              <w:spacing w:before="0" w:after="60" w:line="240" w:lineRule="auto"/>
              <w:ind w:left="31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>Միության նորմատիվ-տեղեկատվական տեղեկությունների միասնական համակարգի ձ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>ավորմանն ու կատարելագործմանն ուղղված միջոցառումների</w:t>
            </w:r>
            <w:r w:rsidR="00630B3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պլանի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մշակում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թարմացում</w:t>
            </w:r>
          </w:p>
        </w:tc>
        <w:tc>
          <w:tcPr>
            <w:tcW w:w="2855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միջացառումների պլան</w:t>
            </w:r>
          </w:p>
        </w:tc>
        <w:tc>
          <w:tcPr>
            <w:tcW w:w="1714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II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</w:tr>
      <w:tr w:rsidR="0028115A" w:rsidRPr="00DE5807" w:rsidTr="00F51C56">
        <w:trPr>
          <w:jc w:val="center"/>
        </w:trPr>
        <w:tc>
          <w:tcPr>
            <w:tcW w:w="6228" w:type="dxa"/>
            <w:shd w:val="clear" w:color="auto" w:fill="FFFFFF"/>
          </w:tcPr>
          <w:p w:rsidR="0028115A" w:rsidRPr="00DE5807" w:rsidRDefault="00FE368C" w:rsidP="007E0989">
            <w:pPr>
              <w:pStyle w:val="Bodytext20"/>
              <w:shd w:val="clear" w:color="auto" w:fill="auto"/>
              <w:tabs>
                <w:tab w:val="left" w:pos="847"/>
              </w:tabs>
              <w:spacing w:before="0" w:after="6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զ)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Միության՝ ընդհանուր գործընթացների իրագործման համար առաջնահերթ ուղղություններով տվյալների մոդելի զարգացում՝ </w:t>
            </w:r>
            <w:r w:rsidR="00387A7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թիվ 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>1 հավելվածի համաձայն</w:t>
            </w:r>
          </w:p>
        </w:tc>
        <w:tc>
          <w:tcPr>
            <w:tcW w:w="2855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Միության տվյալների պաշտոնականացված մոդել, Միության տվյալների մոդելի նկարագիր</w:t>
            </w:r>
          </w:p>
        </w:tc>
        <w:tc>
          <w:tcPr>
            <w:tcW w:w="1714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0413EC"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եռամսյակներ</w:t>
            </w:r>
          </w:p>
        </w:tc>
        <w:tc>
          <w:tcPr>
            <w:tcW w:w="2290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28115A" w:rsidRPr="00DE5807" w:rsidTr="00FE368C">
        <w:trPr>
          <w:jc w:val="center"/>
        </w:trPr>
        <w:tc>
          <w:tcPr>
            <w:tcW w:w="6228" w:type="dxa"/>
            <w:shd w:val="clear" w:color="auto" w:fill="FFFFFF"/>
          </w:tcPr>
          <w:p w:rsidR="0028115A" w:rsidRPr="00DE5807" w:rsidRDefault="00FE368C" w:rsidP="007E0989">
            <w:pPr>
              <w:pStyle w:val="Bodytext20"/>
              <w:shd w:val="clear" w:color="auto" w:fill="auto"/>
              <w:tabs>
                <w:tab w:val="left" w:pos="847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է)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գործընթացների ֆունկցիոնալ նկարագրերի (ֆունկցիոնալ ճարտարապետության) նախագծերի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>մշակում՝ Հանձնաժողովի կողմից հաստատված՝ ընդհանուր գործընթացների ցանկին համապատասխան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ընդհանուր գործընթացների ֆունկցիոնալ նկարագրերի (ֆունկցիոնալ ճարտարապետության) նախագծեր </w:t>
            </w:r>
          </w:p>
        </w:tc>
        <w:tc>
          <w:tcPr>
            <w:tcW w:w="1714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1566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28115A" w:rsidRPr="00DE5807" w:rsidTr="00763F4C">
        <w:trPr>
          <w:jc w:val="center"/>
        </w:trPr>
        <w:tc>
          <w:tcPr>
            <w:tcW w:w="6228" w:type="dxa"/>
            <w:shd w:val="clear" w:color="auto" w:fill="FFFFFF"/>
          </w:tcPr>
          <w:p w:rsidR="0028115A" w:rsidRPr="00DE5807" w:rsidRDefault="00FE368C" w:rsidP="007E0989">
            <w:pPr>
              <w:pStyle w:val="Bodytext20"/>
              <w:shd w:val="clear" w:color="auto" w:fill="auto"/>
              <w:tabs>
                <w:tab w:val="left" w:pos="847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ը)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մարմինների կողմից ընդհանուր գործընթացների ֆունկցիոնալ նկարագրերի (ֆունկցիոնալ ճարտարապետության) նախագծերի համաձայնեցում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ընդհանուր գործընթացների ֆունկցիոնալ նկարագրեր (ֆունկցիոնալ ճարտարապետություն) </w:t>
            </w:r>
          </w:p>
        </w:tc>
        <w:tc>
          <w:tcPr>
            <w:tcW w:w="1714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28115A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28115A" w:rsidRPr="00DE5807" w:rsidRDefault="00DA3BE6" w:rsidP="000775D3">
            <w:pPr>
              <w:pStyle w:val="Bodytext20"/>
              <w:shd w:val="clear" w:color="auto" w:fill="auto"/>
              <w:tabs>
                <w:tab w:val="left" w:pos="830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թ)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գործընթացների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իրագործման ժամանակ տեղեկատվական փոխգործակցությունը կանոնակարգող տեխնոլոգիական փաստաթղթերի (այսուհետ՝ տեխն</w:t>
            </w:r>
            <w:r w:rsidR="001926D7" w:rsidRPr="00DE5807">
              <w:rPr>
                <w:rStyle w:val="Bodytext212pt"/>
                <w:rFonts w:ascii="Sylfaen" w:hAnsi="Sylfaen"/>
                <w:sz w:val="20"/>
                <w:szCs w:val="20"/>
              </w:rPr>
              <w:t>ոլոգի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>ական փաստաթղթեր) նախագծերի մշակում՝ Հանձնաժողովի կողմից հաստատվ</w:t>
            </w:r>
            <w:r w:rsidR="001926D7" w:rsidRPr="00DE5807">
              <w:rPr>
                <w:rStyle w:val="Bodytext212pt"/>
                <w:rFonts w:ascii="Sylfaen" w:hAnsi="Sylfaen"/>
                <w:sz w:val="20"/>
                <w:szCs w:val="20"/>
              </w:rPr>
              <w:t>ող՝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ընդհանուր գործընթացների ցանկին համապատասխան</w:t>
            </w:r>
          </w:p>
        </w:tc>
        <w:tc>
          <w:tcPr>
            <w:tcW w:w="2855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տեխնոլոգիական փաստաթղթերի նախագծեր, ծրագրային միջոցների նախատիպեր</w:t>
            </w:r>
          </w:p>
        </w:tc>
        <w:tc>
          <w:tcPr>
            <w:tcW w:w="1714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1566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28115A" w:rsidRPr="00DE5807" w:rsidTr="00FE368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28115A" w:rsidRPr="00DE5807" w:rsidRDefault="0028115A" w:rsidP="000775D3">
            <w:pPr>
              <w:pStyle w:val="Bodytext20"/>
              <w:shd w:val="clear" w:color="auto" w:fill="auto"/>
              <w:tabs>
                <w:tab w:val="left" w:pos="830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ժ)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մարմինների կողմից տեխնոլոգիական փաստաթղթերի նախագծերի համաձայնեցում</w:t>
            </w:r>
          </w:p>
        </w:tc>
        <w:tc>
          <w:tcPr>
            <w:tcW w:w="2855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տեխնոլոգիական փաստաթղթեր</w:t>
            </w:r>
          </w:p>
        </w:tc>
        <w:tc>
          <w:tcPr>
            <w:tcW w:w="1714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</w:t>
            </w:r>
          </w:p>
        </w:tc>
      </w:tr>
      <w:tr w:rsidR="0028115A" w:rsidRPr="00DE5807" w:rsidTr="00FE368C">
        <w:trPr>
          <w:jc w:val="center"/>
        </w:trPr>
        <w:tc>
          <w:tcPr>
            <w:tcW w:w="6228" w:type="dxa"/>
            <w:shd w:val="clear" w:color="auto" w:fill="FFFFFF"/>
          </w:tcPr>
          <w:p w:rsidR="0028115A" w:rsidRPr="00DE5807" w:rsidRDefault="00FE368C" w:rsidP="000775D3">
            <w:pPr>
              <w:pStyle w:val="Bodytext20"/>
              <w:shd w:val="clear" w:color="auto" w:fill="auto"/>
              <w:tabs>
                <w:tab w:val="left" w:pos="830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ժա)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ինտեգրված համակարգի զարգացման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գործունեության ապահովման համար անհրաժեշտ ստանդարտների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առաջարկների ցանկի </w:t>
            </w:r>
            <w:r w:rsidR="00AD3DB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ու </w:t>
            </w:r>
            <w:r w:rsidR="0028115A" w:rsidRPr="00DE5807">
              <w:rPr>
                <w:rStyle w:val="Bodytext212pt"/>
                <w:rFonts w:ascii="Sylfaen" w:hAnsi="Sylfaen"/>
                <w:sz w:val="20"/>
                <w:szCs w:val="20"/>
              </w:rPr>
              <w:t>նախագծերի մշակում</w:t>
            </w:r>
          </w:p>
        </w:tc>
        <w:tc>
          <w:tcPr>
            <w:tcW w:w="2855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ստանդարտներ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առաջարկներ</w:t>
            </w:r>
          </w:p>
        </w:tc>
        <w:tc>
          <w:tcPr>
            <w:tcW w:w="1714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II-IV</w:t>
            </w:r>
            <w:r w:rsidR="00FE368C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28115A" w:rsidRPr="00DE5807" w:rsidRDefault="0028115A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F87C24" w:rsidRPr="00DE5807" w:rsidTr="00F51C56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:rsidR="00F87C24" w:rsidRPr="00DE5807" w:rsidRDefault="00F87C24" w:rsidP="000775D3">
            <w:pPr>
              <w:pStyle w:val="Bodytext20"/>
              <w:shd w:val="clear" w:color="auto" w:fill="auto"/>
              <w:tabs>
                <w:tab w:val="left" w:pos="830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ժբ)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Միության նորմատիվ-տեղեկատվական տեղեկությունների միասնական համակարգի վարման ու կիրառման մասով հրահանգչական-մեթոդական փաստաթղթերի մշակում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հրահանգչական</w:t>
            </w:r>
            <w:r w:rsidRPr="00DE5807">
              <w:rPr>
                <w:rFonts w:ascii="Sylfaen" w:hAnsi="Sylfaen"/>
                <w:sz w:val="20"/>
                <w:szCs w:val="20"/>
              </w:rPr>
              <w:softHyphen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մեթոդական փաստաթղթեր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II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3B77E0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</w:tr>
      <w:tr w:rsidR="00F87C24" w:rsidRPr="00DE5807" w:rsidTr="00FE368C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FE368C" w:rsidP="007E0989">
            <w:pPr>
              <w:pStyle w:val="Bodytext20"/>
              <w:shd w:val="clear" w:color="auto" w:fill="auto"/>
              <w:tabs>
                <w:tab w:val="left" w:pos="830"/>
              </w:tabs>
              <w:spacing w:before="0" w:after="120" w:line="288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ժգ)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Միության</w:t>
            </w:r>
            <w:r w:rsidR="001926D7" w:rsidRPr="00DE5807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նորմատիվ</w:t>
            </w:r>
            <w:r w:rsidR="001926D7"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  <w:r w:rsidR="00F87C24" w:rsidRPr="00DE5807">
              <w:rPr>
                <w:rFonts w:ascii="Sylfaen" w:hAnsi="Sylfaen"/>
                <w:sz w:val="20"/>
                <w:szCs w:val="20"/>
              </w:rPr>
              <w:softHyphen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տեղեկատվական տեղեկությունների միասնական համակարգի տեղեկատուների </w:t>
            </w:r>
            <w:r w:rsidR="00AD3DB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ու 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դասակարգիչների մշակում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թարմացում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տեղեկատուներ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դասակարգիչներ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Հանձնաժողով*, լիազորված մարմիններ, տեղեկատուներ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դասակարգիչներ վարող օպերատորներ</w:t>
            </w:r>
          </w:p>
        </w:tc>
      </w:tr>
      <w:tr w:rsidR="00F87C24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tabs>
                <w:tab w:val="left" w:pos="847"/>
              </w:tabs>
              <w:spacing w:before="0" w:after="120" w:line="288" w:lineRule="auto"/>
              <w:ind w:left="2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ժդ)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ինտեգրված համակարգի</w:t>
            </w:r>
            <w:r w:rsidR="002A1CD5" w:rsidRPr="00DE5807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Հանձնաժողովի ինտեգրացիոն հատվածի (այսուհետ` Հանձնաժողովի ինտեգրացիոն հատված) </w:t>
            </w:r>
            <w:r w:rsidR="002A1CD5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ենթահամակարգերի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արդիականացման մասով մասնավոր տեխնիկական առաջադրանքների մշակում՝ ըստ </w:t>
            </w:r>
            <w:r w:rsidR="00387A7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թիվ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 հավելվածի </w:t>
            </w:r>
            <w:r w:rsidR="002A1CD5" w:rsidRPr="00DE5807">
              <w:rPr>
                <w:rStyle w:val="Bodytext212pt"/>
                <w:rFonts w:ascii="Sylfaen" w:hAnsi="Sylfaen"/>
                <w:sz w:val="20"/>
                <w:szCs w:val="20"/>
              </w:rPr>
              <w:t>ցանկի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մասնավոր տեխնիկական առաջադրանքներ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II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F87C24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tabs>
                <w:tab w:val="left" w:pos="847"/>
              </w:tabs>
              <w:spacing w:before="0" w:after="120" w:line="288" w:lineRule="auto"/>
              <w:ind w:left="2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ժե)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գործընթացների մասնակիցների տեղեկատվական համակարգերի միջ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տեղեկատվական փոխգործակցության թեստավորման անցկացում՝ Հանձնաժողովի կողմից հաստատվող տեխնոլոգիական փաստաթղթերի կազմում ընդգրկվող՝ միանալու կարգ</w:t>
            </w:r>
            <w:r w:rsidR="000413EC" w:rsidRPr="00DE5807">
              <w:rPr>
                <w:rStyle w:val="Bodytext212pt"/>
                <w:rFonts w:ascii="Sylfaen" w:hAnsi="Sylfaen"/>
                <w:sz w:val="20"/>
                <w:szCs w:val="20"/>
              </w:rPr>
              <w:t>եր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ին համապատասխան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թեստավորման ակտեր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  <w:r w:rsidR="003763BC" w:rsidRPr="00DE5807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"/>
              <w:sym w:font="Symbol" w:char="F02A"/>
            </w:r>
            <w:r w:rsidR="003763BC" w:rsidRPr="00DE5807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</w:tr>
      <w:tr w:rsidR="00F87C24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tabs>
                <w:tab w:val="left" w:pos="847"/>
              </w:tabs>
              <w:spacing w:before="0" w:after="120" w:line="288" w:lineRule="auto"/>
              <w:ind w:left="2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ժզ)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ինտեգրված համակարգի ճարտարապետության մշակում՝ «մեկ պատուհանի» ազգային մեխանիզմների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ապրանքների հետագծելիության իրականացման հետ փոխկապակցված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ճարտարապետության նկարագիր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III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1901AB" w:rsidRPr="00DE5807" w:rsidRDefault="003B77E0" w:rsidP="007E0989">
            <w:pPr>
              <w:spacing w:after="120" w:line="288" w:lineRule="auto"/>
              <w:jc w:val="center"/>
              <w:rPr>
                <w:sz w:val="20"/>
                <w:szCs w:val="20"/>
              </w:rPr>
            </w:pPr>
            <w:r w:rsidRPr="00DE5807">
              <w:rPr>
                <w:rStyle w:val="Bodytext212pt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</w:tr>
      <w:tr w:rsidR="00F87C24" w:rsidRPr="00DE5807" w:rsidTr="00763F4C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1D08EB" w:rsidP="007E0989">
            <w:pPr>
              <w:pStyle w:val="Bodytext20"/>
              <w:shd w:val="clear" w:color="auto" w:fill="auto"/>
              <w:tabs>
                <w:tab w:val="left" w:pos="847"/>
              </w:tabs>
              <w:spacing w:before="0" w:after="120" w:line="288" w:lineRule="auto"/>
              <w:ind w:left="2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ժէ)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փորձաքննություն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88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F87C24" w:rsidRPr="00DE5807" w:rsidTr="001D08EB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tabs>
                <w:tab w:val="left" w:pos="847"/>
              </w:tabs>
              <w:spacing w:before="0" w:after="120" w:line="240" w:lineRule="auto"/>
              <w:ind w:left="2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ժը)</w:t>
            </w:r>
            <w:r w:rsidR="00FE368C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ինտեգրված համակարգի զարգացման ռազմավարության մշակում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ռազմավարություն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II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3B77E0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</w:tr>
      <w:tr w:rsidR="00F87C24" w:rsidRPr="00DE5807" w:rsidTr="001D08EB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DE5807" w:rsidRDefault="00FE368C" w:rsidP="007E0989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Հանձնաժողովի ինտեգրացիոն հատվածի արդիականացում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զարգացում, այդ թվում՝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7E0989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7E0989">
            <w:pPr>
              <w:spacing w:after="120"/>
              <w:rPr>
                <w:sz w:val="20"/>
                <w:szCs w:val="20"/>
              </w:rPr>
            </w:pPr>
          </w:p>
        </w:tc>
      </w:tr>
      <w:tr w:rsidR="00F87C24" w:rsidRPr="00DE5807" w:rsidTr="001D08EB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1D08EB" w:rsidP="007E0989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Հանձնաժողովի ինտեգրացիոն հատվածի կազմում ենթահամակարգերի ստեղծում՝ ըստ </w:t>
            </w:r>
            <w:r w:rsidR="00387A7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թիվ 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3 հավելվածի </w:t>
            </w:r>
            <w:r w:rsidR="00EC3FA7" w:rsidRPr="00DE5807">
              <w:rPr>
                <w:rStyle w:val="Bodytext212pt"/>
                <w:rFonts w:ascii="Sylfaen" w:hAnsi="Sylfaen"/>
                <w:sz w:val="20"/>
                <w:szCs w:val="20"/>
              </w:rPr>
              <w:t>ցանկի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F87C24" w:rsidRPr="00DE5807" w:rsidTr="001D08EB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1D08EB" w:rsidP="007E0989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Հանձնաժողովի ինտեգրացիոն հատվածի կազմում ենթահամակարգերի արդիականացում՝ սույն </w:t>
            </w:r>
            <w:r w:rsidR="00EC3FA7" w:rsidRPr="00DE5807">
              <w:rPr>
                <w:rStyle w:val="Bodytext212pt"/>
                <w:rFonts w:ascii="Sylfaen" w:hAnsi="Sylfaen"/>
                <w:sz w:val="20"/>
                <w:szCs w:val="20"/>
              </w:rPr>
              <w:t>պլանի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387A7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թիվ 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2 հավելվածին համապատասխան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F87C24" w:rsidRPr="00DE5807" w:rsidTr="00F51C56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1D08EB" w:rsidP="007E0989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Հանձնաժողովի ինտեգրացիոն հատվածի կազմում ընդհանուր գործընթացների ծառայությունների ծրագրային ապահովման ստեղծում (արդիականացում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զարգացում)՝ ընդհանուր գործընթացների իրագործման համար առաջնահերթ ուղղությունների ցանկի համաձայն, սույն </w:t>
            </w:r>
            <w:r w:rsidR="00EC3FA7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պլանի </w:t>
            </w:r>
            <w:r w:rsidR="00387A7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թիվ 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1 հավելվածին համապատասխան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F87C24" w:rsidRPr="00DE5807" w:rsidTr="001D08EB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1D08EB" w:rsidP="000775D3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ընդհանուր գործընթացների ծառայությունների ծրագրային ապահովման հիմնական բաղադրիչների ստեղծում (արդիականացում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զարգացում)՝ ինտեգրված համակարգի միջպետական փորձարկումներ անցկացնելիս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ինտեգրված համակարգի հետաքրքրված անդամ պետությունների ազգային հատվածներում (այսուհետ՝ ազգային հատվածներ) այն օգտագործելու համար՝ ընդհանուր գործընթացների իրագործման համար առաջնահերթ ուղղությունների ցանկի համաձայն, սույն </w:t>
            </w:r>
            <w:r w:rsidR="00387A74" w:rsidRPr="00DE5807">
              <w:rPr>
                <w:rStyle w:val="Bodytext212pt"/>
                <w:rFonts w:ascii="Sylfaen" w:hAnsi="Sylfaen"/>
                <w:sz w:val="20"/>
                <w:szCs w:val="20"/>
              </w:rPr>
              <w:t>պլանի թիվ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1 հավելվածին համապատասխան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F51C5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F51C56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F87C24" w:rsidRPr="00DE5807" w:rsidTr="001D08EB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1D08EB" w:rsidP="000775D3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ե)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փորձաքննություն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1D08E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F87C24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:rsidR="00F87C24" w:rsidRPr="00DE5807" w:rsidRDefault="001D08EB" w:rsidP="000775D3">
            <w:pPr>
              <w:pStyle w:val="Bodytext20"/>
              <w:shd w:val="clear" w:color="auto" w:fill="auto"/>
              <w:tabs>
                <w:tab w:val="left" w:pos="42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3.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արդիականացման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զարգացման </w:t>
            </w:r>
            <w:r w:rsidR="008B503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աշխատանքների 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համակարգ</w:t>
            </w:r>
            <w:r w:rsidR="008B503B" w:rsidRPr="00DE5807">
              <w:rPr>
                <w:rStyle w:val="Bodytext212pt"/>
                <w:rFonts w:ascii="Sylfaen" w:hAnsi="Sylfaen"/>
                <w:sz w:val="20"/>
                <w:szCs w:val="20"/>
              </w:rPr>
              <w:t>ում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, այդ թվում՝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0775D3">
            <w:pPr>
              <w:spacing w:after="120"/>
              <w:rPr>
                <w:sz w:val="20"/>
                <w:szCs w:val="20"/>
              </w:rPr>
            </w:pPr>
          </w:p>
        </w:tc>
      </w:tr>
      <w:tr w:rsidR="00F87C24" w:rsidRPr="00DE5807" w:rsidTr="00763F4C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1D08EB" w:rsidP="000775D3">
            <w:pPr>
              <w:pStyle w:val="Bodytext20"/>
              <w:shd w:val="clear" w:color="auto" w:fill="auto"/>
              <w:tabs>
                <w:tab w:val="left" w:pos="833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արդիականացման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զարգացման </w:t>
            </w:r>
            <w:r w:rsidR="008B503B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պլանների 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մշակում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արդիականացման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զարգացման </w:t>
            </w:r>
            <w:r w:rsidR="008B503B" w:rsidRPr="00DE5807">
              <w:rPr>
                <w:rStyle w:val="Bodytext212pt"/>
                <w:rFonts w:ascii="Sylfaen" w:hAnsi="Sylfaen"/>
                <w:sz w:val="20"/>
                <w:szCs w:val="20"/>
              </w:rPr>
              <w:t>պլաններ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մարմիններ, Հանձնաժողով</w:t>
            </w:r>
          </w:p>
        </w:tc>
      </w:tr>
      <w:tr w:rsidR="00F87C24" w:rsidRPr="00DE5807" w:rsidTr="00763F4C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tabs>
                <w:tab w:val="left" w:pos="833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արդիականացում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զարգացում՝ սույն կետի «ա» ենթակետի համաձայն</w:t>
            </w:r>
            <w:r w:rsidR="008B503B" w:rsidRPr="00DE5807">
              <w:rPr>
                <w:rStyle w:val="Bodytext212pt"/>
                <w:rFonts w:ascii="Sylfaen" w:hAnsi="Sylfaen"/>
                <w:sz w:val="20"/>
                <w:szCs w:val="20"/>
              </w:rPr>
              <w:t>, պլաններին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միջանկյալ հաշվետվություններ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III-IV</w:t>
            </w:r>
            <w:r w:rsidR="001D08EB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III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մարմիններ**, Հանձնաժողով</w:t>
            </w:r>
          </w:p>
        </w:tc>
      </w:tr>
      <w:tr w:rsidR="00F87C24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DE5807" w:rsidRDefault="005B4016" w:rsidP="000775D3">
            <w:pPr>
              <w:pStyle w:val="Bodytext20"/>
              <w:shd w:val="clear" w:color="auto" w:fill="auto"/>
              <w:tabs>
                <w:tab w:val="left" w:pos="830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ծրագրային միջոցների (ադապտերների) մշակում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արդիականացում (անհրաժեշտության դեպքում)՝ ազգային հատվածի ինտեգրացիոն անցուղու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անդամ պետությունում էլեկտրոնային տարբերակով կիրառվող միջգերատեսչական փոխգործակցության համակարգի միջ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փոխգործակցությ</w:t>
            </w:r>
            <w:r w:rsidR="00BA0ABA" w:rsidRPr="00DE5807">
              <w:rPr>
                <w:rStyle w:val="Bodytext212pt"/>
                <w:rFonts w:ascii="Sylfaen" w:hAnsi="Sylfaen"/>
                <w:sz w:val="20"/>
                <w:szCs w:val="20"/>
              </w:rPr>
              <w:t>ու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ն ապահով</w:t>
            </w:r>
            <w:r w:rsidR="00BA0ABA" w:rsidRPr="00DE5807">
              <w:rPr>
                <w:rStyle w:val="Bodytext212pt"/>
                <w:rFonts w:ascii="Sylfaen" w:hAnsi="Sylfaen"/>
                <w:sz w:val="20"/>
                <w:szCs w:val="20"/>
              </w:rPr>
              <w:t>ելու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համար (տիպային անցուղու հիման վրա իրագործված՝ ազգային հատվածների ինտեգրացիոն անցուղիների համար)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</w:t>
            </w:r>
            <w:r w:rsidR="00EE2A3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ակտ(եր)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F87C24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F87C24" w:rsidRPr="00DE5807" w:rsidRDefault="005B4016" w:rsidP="000775D3">
            <w:pPr>
              <w:pStyle w:val="Bodytext20"/>
              <w:shd w:val="clear" w:color="auto" w:fill="auto"/>
              <w:tabs>
                <w:tab w:val="left" w:pos="830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հատվածներում ընդհանուր գործընթացների </w:t>
            </w:r>
            <w:r w:rsidR="00441ED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իրագործման 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ապահովում՝ ընդհանուր գործընթացների իրագործման համար առաջնահերթ ուղղությունների ցանկի համաձայն, սույն </w:t>
            </w:r>
            <w:r w:rsidR="00441ED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պլանի </w:t>
            </w:r>
            <w:r w:rsidR="00387A7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թիվ 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1 հավելվածին համապատասխան</w:t>
            </w:r>
            <w:r w:rsidR="00EE2A36" w:rsidRPr="00DE5807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3"/>
              <w:sym w:font="Symbol" w:char="F02A"/>
            </w:r>
            <w:r w:rsidR="00EE2A36" w:rsidRPr="00DE5807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EE2A36" w:rsidRPr="00DE5807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214C17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  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մարմիններ**, Հանձնաժողով</w:t>
            </w:r>
          </w:p>
        </w:tc>
      </w:tr>
      <w:tr w:rsidR="00F87C24" w:rsidRPr="00DE5807" w:rsidTr="00763F4C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5B4016" w:rsidP="007E0989">
            <w:pPr>
              <w:pStyle w:val="Bodytext20"/>
              <w:shd w:val="clear" w:color="auto" w:fill="auto"/>
              <w:tabs>
                <w:tab w:val="left" w:pos="830"/>
              </w:tabs>
              <w:spacing w:before="0" w:after="4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ե)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արդիականացման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զարգացման աշխատանքների ընթացքի մասին հաշվետվությունների պատրաստում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մարմիններ, Հանձնաժողով</w:t>
            </w:r>
          </w:p>
        </w:tc>
      </w:tr>
      <w:tr w:rsidR="00F87C24" w:rsidRPr="00DE5807" w:rsidTr="00EE2A36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5B4016" w:rsidP="007E0989">
            <w:pPr>
              <w:pStyle w:val="Bodytext20"/>
              <w:shd w:val="clear" w:color="auto" w:fill="auto"/>
              <w:tabs>
                <w:tab w:val="left" w:pos="422"/>
              </w:tabs>
              <w:spacing w:before="0" w:after="4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4.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Վստահության անդրսահմանային տարածքի ենթակառուցվածքի ստեղծում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զարգացում, այդ թվում՝ 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7E0989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7E0989">
            <w:pPr>
              <w:spacing w:after="40"/>
              <w:rPr>
                <w:sz w:val="20"/>
                <w:szCs w:val="20"/>
              </w:rPr>
            </w:pPr>
          </w:p>
        </w:tc>
      </w:tr>
      <w:tr w:rsidR="00F87C24" w:rsidRPr="00DE5807" w:rsidTr="00EE2A36">
        <w:trPr>
          <w:jc w:val="center"/>
        </w:trPr>
        <w:tc>
          <w:tcPr>
            <w:tcW w:w="6228" w:type="dxa"/>
            <w:shd w:val="clear" w:color="auto" w:fill="FFFFFF"/>
          </w:tcPr>
          <w:p w:rsidR="00F87C24" w:rsidRPr="00DE5807" w:rsidRDefault="005B4016" w:rsidP="007E0989">
            <w:pPr>
              <w:pStyle w:val="Bodytext20"/>
              <w:shd w:val="clear" w:color="auto" w:fill="auto"/>
              <w:tabs>
                <w:tab w:val="left" w:pos="852"/>
              </w:tabs>
              <w:spacing w:before="0" w:after="4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F87C24" w:rsidRPr="00DE5807">
              <w:rPr>
                <w:rStyle w:val="Bodytext212pt"/>
                <w:rFonts w:ascii="Sylfaen" w:hAnsi="Sylfaen"/>
                <w:sz w:val="20"/>
                <w:szCs w:val="20"/>
              </w:rPr>
              <w:t>վստահության անդրսահմանային տարածքի ճարտարապետության մշակում</w:t>
            </w:r>
          </w:p>
        </w:tc>
        <w:tc>
          <w:tcPr>
            <w:tcW w:w="2855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ճարտարապետության նկարագիր</w:t>
            </w:r>
          </w:p>
        </w:tc>
        <w:tc>
          <w:tcPr>
            <w:tcW w:w="1714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EE2A3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EE2A36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90" w:type="dxa"/>
            <w:shd w:val="clear" w:color="auto" w:fill="FFFFFF"/>
          </w:tcPr>
          <w:p w:rsidR="00F87C24" w:rsidRPr="00DE5807" w:rsidRDefault="00F87C24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</w:tr>
      <w:tr w:rsidR="008F2469" w:rsidRPr="00DE5807" w:rsidTr="00EE2A36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73"/>
              </w:tabs>
              <w:spacing w:before="0" w:after="4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նորմատիվ իրավական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կազմակերպ</w:t>
            </w:r>
            <w:r w:rsidR="00041955" w:rsidRPr="00DE5807">
              <w:rPr>
                <w:rStyle w:val="Bodytext212pt"/>
                <w:rFonts w:ascii="Sylfaen" w:hAnsi="Sylfaen"/>
                <w:sz w:val="20"/>
                <w:szCs w:val="20"/>
              </w:rPr>
              <w:t>ա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տեխնիկական փաստաթղթերի նախագծերի մշակում՝ վստահության </w:t>
            </w:r>
            <w:r w:rsidR="008F2469" w:rsidRPr="00DE5807">
              <w:rPr>
                <w:rStyle w:val="Bodytext212pt"/>
                <w:rFonts w:ascii="Sylfaen" w:hAnsi="Sylfaen"/>
                <w:spacing w:val="-6"/>
                <w:sz w:val="20"/>
                <w:szCs w:val="20"/>
              </w:rPr>
              <w:t xml:space="preserve">անդրսահմանային տարածքի ստեղծմանը, զարգացմանն ու գործունեությանը ներկայացվող պահանջների կատարման </w:t>
            </w:r>
            <w:r w:rsidR="00441ED6" w:rsidRPr="00DE5807">
              <w:rPr>
                <w:rStyle w:val="Bodytext212pt"/>
                <w:rFonts w:ascii="Sylfaen" w:hAnsi="Sylfaen"/>
                <w:spacing w:val="-6"/>
                <w:sz w:val="20"/>
                <w:szCs w:val="20"/>
              </w:rPr>
              <w:t>համար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փաստաթղթերի նախագծեր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8F2469" w:rsidRPr="00DE5807" w:rsidTr="00EE2A36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73"/>
              </w:tabs>
              <w:spacing w:before="0" w:after="4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ստանդարտների ցանկի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նախագծերի մշակում (միջազգային ստանդարտների տեղայնացման հիման վրա)՝ վստահության անդրսահմանային տարածքի ստեղծմանը, զարգացմանը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գործունեությանը ներկայացվող պահանջների կատարման համար,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անդամ պետությունների ազգա</w:t>
            </w:r>
            <w:r w:rsidR="008E2202" w:rsidRPr="00DE5807">
              <w:rPr>
                <w:rStyle w:val="Bodytext212pt"/>
                <w:rFonts w:ascii="Sylfaen" w:hAnsi="Sylfaen"/>
                <w:sz w:val="20"/>
                <w:szCs w:val="20"/>
              </w:rPr>
              <w:t>յ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ին ստանդարտների արդիական տարբերակները որպես միջազգային ստանդարտներ ընդունելու հարցերով՝ անդամ պետությունների համաձայնեցված դիրքորոշման մշակում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ստանդարտների նախագծեր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8F2469" w:rsidRPr="00DE5807" w:rsidTr="00EE2A36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DE5807" w:rsidRDefault="005B4016" w:rsidP="000775D3">
            <w:pPr>
              <w:pStyle w:val="Bodytext20"/>
              <w:shd w:val="clear" w:color="auto" w:fill="auto"/>
              <w:tabs>
                <w:tab w:val="left" w:pos="873"/>
              </w:tabs>
              <w:spacing w:before="0" w:after="6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տեղեկություններն էլեկտրոնային </w:t>
            </w:r>
            <w:r w:rsidR="00697EFF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տարբերակով 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փաստաթղթավորելու ընդհանուր ենթակառուցվածքի ինտեգրացիոն բաղադրիչին ներկայացվող տեխնիկական պահանջների մշակում (ներառյալ տեղեկություններն էլեկտրոնային </w:t>
            </w:r>
            <w:r w:rsidR="00697EFF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տարբերակով 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փաստաթղթավորելու ընդհանուր ենթակառուցվածքի բաղադրիչ</w:t>
            </w:r>
            <w:r w:rsidR="00697EFF" w:rsidRPr="00DE5807">
              <w:rPr>
                <w:rStyle w:val="Bodytext212pt"/>
                <w:rFonts w:ascii="Sylfaen" w:hAnsi="Sylfaen"/>
                <w:sz w:val="20"/>
                <w:szCs w:val="20"/>
              </w:rPr>
              <w:t>ներ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ի հայտնաբերում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սահմանում)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5B4016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եխնիկական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պահանջներ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1566" w:type="dxa"/>
            <w:shd w:val="clear" w:color="auto" w:fill="FFFFFF"/>
          </w:tcPr>
          <w:p w:rsidR="001901AB" w:rsidRPr="00DE5807" w:rsidRDefault="00697EFF" w:rsidP="000775D3">
            <w:pPr>
              <w:spacing w:after="60"/>
              <w:jc w:val="center"/>
              <w:rPr>
                <w:sz w:val="20"/>
                <w:szCs w:val="20"/>
              </w:rPr>
            </w:pPr>
            <w:r w:rsidRPr="00DE5807">
              <w:rPr>
                <w:rStyle w:val="Bodytext212pt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8F2469" w:rsidRPr="00DE5807" w:rsidTr="00EE2A36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33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ե)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տեղեկություններն էլեկտրոնային </w:t>
            </w:r>
            <w:r w:rsidR="00D45E7E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տարբերակով 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փաստաթղթավորելու ընդհանուր ենթակառուցվածքի պետական այն բաղադրիչների ցանկի նախապատրաստում, որոնց համար մշակվում են տեխնիկական պահանջներ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ցանկ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եռամսյակ</w:t>
            </w:r>
          </w:p>
        </w:tc>
        <w:tc>
          <w:tcPr>
            <w:tcW w:w="1566" w:type="dxa"/>
            <w:shd w:val="clear" w:color="auto" w:fill="FFFFFF"/>
          </w:tcPr>
          <w:p w:rsidR="001901AB" w:rsidRPr="00DE5807" w:rsidRDefault="00697EFF" w:rsidP="000775D3">
            <w:pPr>
              <w:spacing w:after="120"/>
              <w:jc w:val="center"/>
              <w:rPr>
                <w:sz w:val="20"/>
                <w:szCs w:val="20"/>
              </w:rPr>
            </w:pPr>
            <w:r w:rsidRPr="00DE5807">
              <w:rPr>
                <w:rStyle w:val="Bodytext212pt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8F2469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33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զ)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տեղեկություններն էլեկտրոնային </w:t>
            </w:r>
            <w:r w:rsidR="008A2040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տարբերակով 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փաստաթղթավորելու ընդհանուր ենթակառուցվածքի պետական բաղադրիչներին ներկայացվող տեխնիկական պահանջների մշակում՝ հաշվի առնելով սույն կետի «դ»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«ե» ենթակետերը (առանձին կամ ազգային հատվածի տեխնիկական առաջադրանքների շրջանակներում)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պահանջներ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II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1901AB" w:rsidRPr="00DE5807" w:rsidRDefault="008A2040" w:rsidP="000775D3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  <w:r w:rsidRPr="00DE5807">
              <w:rPr>
                <w:rStyle w:val="Bodytext212pt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մարմիններ**</w:t>
            </w:r>
          </w:p>
        </w:tc>
      </w:tr>
      <w:tr w:rsidR="008F2469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bottom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33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է)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տեղեկություններն էլեկտրոնային </w:t>
            </w:r>
            <w:r w:rsidR="008A2040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տարբերակով 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փաստաթղթավորելու ընդհանուր ենթակառուցվածքի ինտեգրացիոն բաղադրիչի ստեղծում (արդիականացում)՝ սույն կետի «դ» ենթակետում նշված պահանջներին համապատասխան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III-IV</w:t>
            </w:r>
            <w:r w:rsidR="005B4016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8F2469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33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ը)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տեղեկություններն էլեկտրոնային </w:t>
            </w:r>
            <w:r w:rsidR="008A2040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տարբերակով 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փաստաթղթավորելու ընդհանուր ենթակառուցվածքի պետական բաղադրիչների ստեղծում (արդիականացում)՝ սույն կետի «զ» ենթակետում նշված պահանջներին համապատասխան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նախագծեր, կատարված աշխատանքների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A2040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-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մարմիններ**</w:t>
            </w:r>
          </w:p>
        </w:tc>
      </w:tr>
      <w:tr w:rsidR="008F2469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33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թ)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վստահության անդրսահմանային տարածքի ստեղծմանը, զարգացմանը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գործունեությանը ներկայացվող պահանջներին էլեկտրոնային </w:t>
            </w:r>
            <w:r w:rsidR="003B77E0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տարբերակով 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տեղեկությունների փաստաթղթավորման ընդհանուր ենթակառուցվածքի պետական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ինտեգրացիոն բաղադրիչների համապատասխանության ստուգ</w:t>
            </w:r>
            <w:r w:rsidR="003B77E0" w:rsidRPr="00DE5807">
              <w:rPr>
                <w:rStyle w:val="Bodytext212pt"/>
                <w:rFonts w:ascii="Sylfaen" w:hAnsi="Sylfaen"/>
                <w:sz w:val="20"/>
                <w:szCs w:val="20"/>
              </w:rPr>
              <w:t>ումների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անցկացում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ստուգումների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III-IV</w:t>
            </w:r>
            <w:r w:rsidR="005B4016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մարմիններ**</w:t>
            </w:r>
          </w:p>
        </w:tc>
      </w:tr>
      <w:tr w:rsidR="008F2469" w:rsidRPr="00DE5807" w:rsidTr="00EE2A36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30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ժ)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Հանձնաժողովի հավաստագրման կենտրոնի ստեղծում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նախագիծ, կատարված աշխատանքների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II-IV</w:t>
            </w:r>
            <w:r w:rsidR="005B4016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8F2469" w:rsidRPr="00DE5807" w:rsidTr="00763F4C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30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ժա)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ինտեգրված համակարգի վստահված երրորդ կողմի ծառայության հավաստագրման կենտրոնի ստեղծում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աշխատանքային նախագիծ, կատարված աշխատանքների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II-IV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3B77E0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8F2469" w:rsidRPr="00DE5807" w:rsidTr="00763F4C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30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ժբ)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փորձաքննություն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8F2469" w:rsidRPr="00DE5807" w:rsidTr="00763F4C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441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5.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Միության տեղեկությունների գաղտնագրային պաշտպանության մասնագիտացված միջոցների մշակում</w:t>
            </w:r>
            <w:r w:rsidR="00EE2A36" w:rsidRPr="00DE5807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4"/>
              <w:sym w:font="Symbol" w:char="F02A"/>
            </w:r>
            <w:r w:rsidR="00EE2A36" w:rsidRPr="00DE5807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EE2A36" w:rsidRPr="00DE5807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="00EE2A36" w:rsidRPr="00DE5807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7E098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7E0989">
            <w:pPr>
              <w:spacing w:after="120"/>
              <w:rPr>
                <w:sz w:val="20"/>
                <w:szCs w:val="20"/>
              </w:rPr>
            </w:pPr>
          </w:p>
        </w:tc>
      </w:tr>
      <w:tr w:rsidR="008F2469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DE5807" w:rsidRDefault="005B4016" w:rsidP="007E0989">
            <w:pPr>
              <w:pStyle w:val="Bodytext20"/>
              <w:shd w:val="clear" w:color="auto" w:fill="auto"/>
              <w:tabs>
                <w:tab w:val="left" w:pos="873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նորմատիվ իրավական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կազմակերպ</w:t>
            </w:r>
            <w:r w:rsidR="00041955" w:rsidRPr="00DE5807">
              <w:rPr>
                <w:rStyle w:val="Bodytext212pt"/>
                <w:rFonts w:ascii="Sylfaen" w:hAnsi="Sylfaen"/>
                <w:sz w:val="20"/>
                <w:szCs w:val="20"/>
              </w:rPr>
              <w:t>ա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տեխնիկական փաստաթղթերի մշակում՝ Միության տեղեկությունների գաղտնագրային պաշտպանության մասնագիտացված միջոցների համատեղ մշակման նախագծի իրագործման </w:t>
            </w:r>
            <w:r w:rsidR="00041955" w:rsidRPr="00DE5807">
              <w:rPr>
                <w:rStyle w:val="Bodytext212pt"/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նորմատիվ իրավական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041955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կազմակերպատեխնիկական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փաստաթղթեր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1901AB" w:rsidRPr="00DE5807" w:rsidRDefault="00041955" w:rsidP="007E0989">
            <w:pPr>
              <w:spacing w:after="120"/>
              <w:jc w:val="center"/>
              <w:rPr>
                <w:sz w:val="20"/>
                <w:szCs w:val="20"/>
              </w:rPr>
            </w:pPr>
            <w:r w:rsidRPr="00DE5807">
              <w:rPr>
                <w:rStyle w:val="Bodytext212pt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Հանձնաժողով, լիազորված մարմիններ</w:t>
            </w:r>
          </w:p>
        </w:tc>
      </w:tr>
      <w:tr w:rsidR="008F2469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DE5807" w:rsidRDefault="008F2469" w:rsidP="007E0989">
            <w:pPr>
              <w:pStyle w:val="Bodytext20"/>
              <w:shd w:val="clear" w:color="auto" w:fill="auto"/>
              <w:tabs>
                <w:tab w:val="left" w:pos="873"/>
              </w:tabs>
              <w:spacing w:before="0" w:after="120" w:line="264" w:lineRule="auto"/>
              <w:ind w:left="315" w:righ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Միության տեղեկությունների գաղտնագրային պաշտպանության մասնագիտացված միջոցներին ներկայացվող տեխնիկական պահանջների մշակում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պահանջներ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III-IV</w:t>
            </w:r>
            <w:r w:rsidR="005B4016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II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8F2469" w:rsidRPr="00DE5807" w:rsidTr="000775D3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DE5807" w:rsidRDefault="008F2469" w:rsidP="007E0989">
            <w:pPr>
              <w:pStyle w:val="Bodytext20"/>
              <w:shd w:val="clear" w:color="auto" w:fill="auto"/>
              <w:tabs>
                <w:tab w:val="left" w:pos="873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Միության տեղեկությունների գաղտնագրային պաշտպանության մասնագիտացված միջոցների կոնստրուկտորական փաստաթղթերի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փորձանմուշների մշակում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կոնստրուկտորական փաստաթղթեր, փորձանմուշներ</w:t>
            </w:r>
          </w:p>
        </w:tc>
        <w:tc>
          <w:tcPr>
            <w:tcW w:w="1714" w:type="dxa"/>
            <w:shd w:val="clear" w:color="auto" w:fill="FFFFFF"/>
          </w:tcPr>
          <w:p w:rsidR="001901AB" w:rsidRPr="00DE5807" w:rsidRDefault="00B87F6D" w:rsidP="007E0989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  <w:r w:rsidRPr="00DE5807">
              <w:rPr>
                <w:rStyle w:val="Bodytext212pt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8F2469" w:rsidRPr="00DE5807" w:rsidTr="007E0989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tabs>
                <w:tab w:val="left" w:pos="873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դ)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փորձաքննություն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8F2469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8F2469" w:rsidRPr="00DE5807" w:rsidRDefault="005B4016" w:rsidP="00364926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righ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6.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>Ինտեգրված համակարգի տեղեկատվական</w:t>
            </w:r>
            <w:r w:rsidR="008F2469" w:rsidRPr="00DE5807">
              <w:rPr>
                <w:rFonts w:ascii="Sylfaen" w:hAnsi="Sylfaen"/>
                <w:sz w:val="20"/>
                <w:szCs w:val="20"/>
              </w:rPr>
              <w:softHyphen/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հեռահաղորդակական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8F246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հաշվողական ենթակառուցվածքի գործունեության աջակցություն</w:t>
            </w:r>
            <w:r w:rsidR="00B87F6D" w:rsidRPr="00DE5807">
              <w:rPr>
                <w:rStyle w:val="Bodytext212pt"/>
                <w:rFonts w:ascii="Sylfaen" w:hAnsi="Sylfaen"/>
                <w:sz w:val="20"/>
                <w:szCs w:val="20"/>
              </w:rPr>
              <w:t>, այդ թվում՝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spacing w:after="120"/>
              <w:rPr>
                <w:sz w:val="20"/>
                <w:szCs w:val="20"/>
              </w:rPr>
            </w:pPr>
          </w:p>
        </w:tc>
      </w:tr>
      <w:tr w:rsidR="008F2469" w:rsidRPr="00DE5807" w:rsidTr="00364926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8F2469" w:rsidP="00364926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տվյալների փոխանցման կապուղիների վարձակալում՝ Հանձնաժողովի ինտեգրացիոն հատվածների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ազգային հատվածների միջ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փոխգործակցության համար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8F2469" w:rsidRPr="00DE5807" w:rsidTr="00364926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8F2469" w:rsidP="00364926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տվյալների մշակման կենտրոնի ծառայությունների ձեռքբերում՝ Հանձնաժողովի ինտեգրացիոն հատվածի գործունեություն</w:t>
            </w:r>
            <w:r w:rsidR="00EF068F" w:rsidRPr="00DE5807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ապահովելու համար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8F2469" w:rsidRPr="00DE5807" w:rsidTr="00364926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8F2469" w:rsidP="00364926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Հանձնաժողովի ինտեգրացիոն հատվածի գործունեության համար անհրաժեշտ </w:t>
            </w:r>
            <w:r w:rsidR="0097525D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ընդհանուր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համակարգային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կիրառական ծրագրային ապահովման լիցենզիաների ձեռքբերում (վարձակալում)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8F2469" w:rsidRPr="00DE5807" w:rsidTr="00364926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8F2469" w:rsidP="00364926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դ)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2015-2016 թվականներին մշակված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շահագործման ընդունված՝ ինտեգրված համակարգի ենթահամակարգերի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բաղադրիչների ուղեկցում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8F2469" w:rsidRPr="00DE5807" w:rsidTr="00364926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8F2469" w:rsidP="00364926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ինտեգրացիոն անցուղիների գործունեության ուղեկցում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ապահովում</w:t>
            </w:r>
          </w:p>
        </w:tc>
        <w:tc>
          <w:tcPr>
            <w:tcW w:w="2855" w:type="dxa"/>
            <w:shd w:val="clear" w:color="auto" w:fill="FFFFFF"/>
            <w:vAlign w:val="center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մարմիններ**</w:t>
            </w:r>
          </w:p>
        </w:tc>
      </w:tr>
      <w:tr w:rsidR="008F2469" w:rsidRPr="00DE5807" w:rsidTr="00364926">
        <w:trPr>
          <w:jc w:val="center"/>
        </w:trPr>
        <w:tc>
          <w:tcPr>
            <w:tcW w:w="6228" w:type="dxa"/>
            <w:shd w:val="clear" w:color="auto" w:fill="FFFFFF"/>
          </w:tcPr>
          <w:p w:rsidR="008F2469" w:rsidRPr="00DE5807" w:rsidRDefault="008F2469" w:rsidP="00364926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զ)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ազգային հատվածների վստահված երրորդ կողմերի գործունեության ուղեկցում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ապահովում</w:t>
            </w:r>
          </w:p>
        </w:tc>
        <w:tc>
          <w:tcPr>
            <w:tcW w:w="2855" w:type="dxa"/>
            <w:shd w:val="clear" w:color="auto" w:fill="FFFFFF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հաշվետվություններ, կատարված աշխատանքների ակտ(եր)</w:t>
            </w:r>
          </w:p>
        </w:tc>
        <w:tc>
          <w:tcPr>
            <w:tcW w:w="1714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8F2469" w:rsidRPr="00DE5807" w:rsidRDefault="008F2469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8F2469" w:rsidRPr="00DE5807" w:rsidRDefault="008F2469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մարմիններ**</w:t>
            </w:r>
          </w:p>
        </w:tc>
      </w:tr>
      <w:tr w:rsidR="00C50A04" w:rsidRPr="00DE5807" w:rsidTr="007E0989">
        <w:trPr>
          <w:jc w:val="center"/>
        </w:trPr>
        <w:tc>
          <w:tcPr>
            <w:tcW w:w="6228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64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է)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փորձաքննություն</w:t>
            </w:r>
          </w:p>
        </w:tc>
        <w:tc>
          <w:tcPr>
            <w:tcW w:w="2855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հաշվետվություններ</w:t>
            </w:r>
          </w:p>
        </w:tc>
        <w:tc>
          <w:tcPr>
            <w:tcW w:w="1714" w:type="dxa"/>
            <w:shd w:val="clear" w:color="auto" w:fill="FFFFFF"/>
          </w:tcPr>
          <w:p w:rsidR="00C50A04" w:rsidRPr="00DE5807" w:rsidRDefault="00C50A04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 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>–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C50A04" w:rsidRPr="00DE5807" w:rsidRDefault="00C50A04" w:rsidP="007E0989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 - IV եռամսյակներ</w:t>
            </w:r>
          </w:p>
        </w:tc>
        <w:tc>
          <w:tcPr>
            <w:tcW w:w="2290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C50A04" w:rsidRPr="00DE5807" w:rsidTr="00EE2A36">
        <w:trPr>
          <w:jc w:val="center"/>
        </w:trPr>
        <w:tc>
          <w:tcPr>
            <w:tcW w:w="6228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tabs>
                <w:tab w:val="left" w:pos="427"/>
              </w:tabs>
              <w:spacing w:before="0" w:after="120" w:line="264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7.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DC5500" w:rsidRPr="00DE5807">
              <w:rPr>
                <w:rStyle w:val="Bodytext212pt"/>
                <w:rFonts w:ascii="Sylfaen" w:hAnsi="Sylfaen"/>
                <w:sz w:val="20"/>
                <w:szCs w:val="20"/>
              </w:rPr>
              <w:t>Օգտվողների ուսուց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ում</w:t>
            </w:r>
            <w:r w:rsidR="00DC5500" w:rsidRPr="00DE5807">
              <w:rPr>
                <w:rStyle w:val="Bodytext212pt"/>
                <w:rFonts w:ascii="Sylfaen" w:hAnsi="Sylfaen"/>
                <w:sz w:val="20"/>
                <w:szCs w:val="20"/>
              </w:rPr>
              <w:t>`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տեղեկատվայնացման միջոցների հետ աշխատանքի մասով, այդ թվում՝</w:t>
            </w:r>
          </w:p>
        </w:tc>
        <w:tc>
          <w:tcPr>
            <w:tcW w:w="2855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left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64" w:lineRule="auto"/>
              <w:ind w:firstLine="0"/>
              <w:jc w:val="center"/>
              <w:rPr>
                <w:rStyle w:val="Bodytext212pt"/>
                <w:rFonts w:ascii="Sylfaen" w:hAnsi="Sylfaen"/>
                <w:sz w:val="20"/>
                <w:szCs w:val="20"/>
              </w:rPr>
            </w:pPr>
          </w:p>
        </w:tc>
      </w:tr>
      <w:tr w:rsidR="00C50A04" w:rsidRPr="00DE5807" w:rsidTr="00EE2A36">
        <w:trPr>
          <w:jc w:val="center"/>
        </w:trPr>
        <w:tc>
          <w:tcPr>
            <w:tcW w:w="6228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ա)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Հանձնաժողովի կառուցվածքային ստորաբաժանումների աշխատակիցների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պաշտոնատար անձանց ուսուցում</w:t>
            </w:r>
            <w:r w:rsidR="002768D6" w:rsidRPr="00DE5807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Հանձնաժողովի ինտեգրացիոն հատվածի կազմում ինտեգրված համակարգի ենթահամակարգերի հետ աշխատանքի մասով</w:t>
            </w:r>
          </w:p>
        </w:tc>
        <w:tc>
          <w:tcPr>
            <w:tcW w:w="2855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</w:t>
            </w:r>
          </w:p>
        </w:tc>
        <w:tc>
          <w:tcPr>
            <w:tcW w:w="1714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II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</w:t>
            </w:r>
            <w:r w:rsidR="005B4016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II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IV եռամսյակներ</w:t>
            </w:r>
          </w:p>
        </w:tc>
        <w:tc>
          <w:tcPr>
            <w:tcW w:w="2290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</w:t>
            </w:r>
          </w:p>
        </w:tc>
      </w:tr>
      <w:tr w:rsidR="00C50A04" w:rsidRPr="00DE5807" w:rsidTr="00EE2A36">
        <w:trPr>
          <w:jc w:val="center"/>
        </w:trPr>
        <w:tc>
          <w:tcPr>
            <w:tcW w:w="6228" w:type="dxa"/>
            <w:shd w:val="clear" w:color="auto" w:fill="FFFFFF"/>
          </w:tcPr>
          <w:p w:rsidR="00C50A04" w:rsidRPr="00DE5807" w:rsidRDefault="005B4016" w:rsidP="000775D3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բ)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C50A04" w:rsidRPr="00DE5807">
              <w:rPr>
                <w:rStyle w:val="Bodytext212pt"/>
                <w:rFonts w:ascii="Sylfaen" w:hAnsi="Sylfaen"/>
                <w:sz w:val="20"/>
                <w:szCs w:val="20"/>
              </w:rPr>
              <w:t>լիազորված մարմինների ներկայացուցիչների ուսուցում</w:t>
            </w:r>
          </w:p>
        </w:tc>
        <w:tc>
          <w:tcPr>
            <w:tcW w:w="2855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</w:t>
            </w:r>
          </w:p>
        </w:tc>
        <w:tc>
          <w:tcPr>
            <w:tcW w:w="1714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1566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  <w:tr w:rsidR="00C50A04" w:rsidRPr="00DE5807" w:rsidTr="00763F4C">
        <w:trPr>
          <w:jc w:val="center"/>
        </w:trPr>
        <w:tc>
          <w:tcPr>
            <w:tcW w:w="6228" w:type="dxa"/>
            <w:shd w:val="clear" w:color="auto" w:fill="FFFFFF"/>
            <w:vAlign w:val="center"/>
          </w:tcPr>
          <w:p w:rsidR="00C50A04" w:rsidRPr="00DE5807" w:rsidRDefault="005B4016" w:rsidP="000775D3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3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գ)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C50A0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«Եվրասիական շաբաթ» ցուցահանդեսային ֆորումի շրջանակներում «Եվրասիական թվային հարթակներ» նորարարական նախագծերի մրցույթների կազմակերպում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C50A0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անցկացում</w:t>
            </w:r>
          </w:p>
        </w:tc>
        <w:tc>
          <w:tcPr>
            <w:tcW w:w="2855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հաշվետվություն</w:t>
            </w:r>
          </w:p>
        </w:tc>
        <w:tc>
          <w:tcPr>
            <w:tcW w:w="1714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III-IV</w:t>
            </w:r>
            <w:r w:rsidR="005B4016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1566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>III-IV</w:t>
            </w:r>
            <w:r w:rsidR="005B4016" w:rsidRPr="00DE5807">
              <w:rPr>
                <w:rStyle w:val="Bodytext212pt0"/>
                <w:rFonts w:ascii="Sylfaen" w:hAnsi="Sylfaen"/>
                <w:spacing w:val="0"/>
                <w:sz w:val="20"/>
                <w:szCs w:val="20"/>
              </w:rPr>
              <w:t xml:space="preserve"> 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եռամսյակներ</w:t>
            </w:r>
          </w:p>
        </w:tc>
        <w:tc>
          <w:tcPr>
            <w:tcW w:w="2290" w:type="dxa"/>
            <w:shd w:val="clear" w:color="auto" w:fill="FFFFFF"/>
          </w:tcPr>
          <w:p w:rsidR="00C50A04" w:rsidRPr="00DE5807" w:rsidRDefault="00C50A0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Հանձնաժողով*, լիազորված մարմիններ</w:t>
            </w:r>
          </w:p>
        </w:tc>
      </w:tr>
    </w:tbl>
    <w:p w:rsidR="009866B4" w:rsidRPr="00DE5807" w:rsidRDefault="009866B4" w:rsidP="00214C17">
      <w:pPr>
        <w:spacing w:after="160" w:line="360" w:lineRule="auto"/>
        <w:jc w:val="both"/>
        <w:rPr>
          <w:lang w:val="en-US"/>
        </w:rPr>
      </w:pPr>
    </w:p>
    <w:p w:rsidR="00EE2A36" w:rsidRPr="00DE5807" w:rsidRDefault="00EE2A36" w:rsidP="00EE2A36">
      <w:pPr>
        <w:spacing w:after="160" w:line="360" w:lineRule="auto"/>
        <w:jc w:val="center"/>
        <w:rPr>
          <w:lang w:val="en-US"/>
        </w:rPr>
      </w:pPr>
      <w:r w:rsidRPr="00DE5807">
        <w:rPr>
          <w:lang w:val="en-US"/>
        </w:rPr>
        <w:t>____________</w:t>
      </w:r>
    </w:p>
    <w:p w:rsidR="00520CF1" w:rsidRPr="00DE5807" w:rsidRDefault="00520CF1" w:rsidP="00214C17">
      <w:pPr>
        <w:spacing w:after="160" w:line="360" w:lineRule="auto"/>
      </w:pPr>
    </w:p>
    <w:p w:rsidR="00520CF1" w:rsidRPr="00DE5807" w:rsidRDefault="00520CF1" w:rsidP="00214C17">
      <w:pPr>
        <w:spacing w:after="160" w:line="360" w:lineRule="auto"/>
        <w:sectPr w:rsidR="00520CF1" w:rsidRPr="00DE5807" w:rsidSect="00364926">
          <w:footerReference w:type="default" r:id="rId9"/>
          <w:pgSz w:w="16840" w:h="11900" w:orient="landscape"/>
          <w:pgMar w:top="1418" w:right="1418" w:bottom="1418" w:left="1418" w:header="0" w:footer="661" w:gutter="0"/>
          <w:pgNumType w:start="1"/>
          <w:cols w:space="720"/>
          <w:noEndnote/>
          <w:titlePg/>
          <w:docGrid w:linePitch="360"/>
        </w:sectPr>
      </w:pPr>
    </w:p>
    <w:p w:rsidR="00520CF1" w:rsidRPr="00DE5807" w:rsidRDefault="00480954" w:rsidP="00214C17">
      <w:pPr>
        <w:pStyle w:val="Bodytext20"/>
        <w:shd w:val="clear" w:color="auto" w:fill="auto"/>
        <w:spacing w:before="0" w:after="160" w:line="360" w:lineRule="auto"/>
        <w:ind w:left="4253" w:firstLine="0"/>
        <w:jc w:val="center"/>
        <w:rPr>
          <w:rFonts w:ascii="Sylfaen" w:hAnsi="Sylfaen"/>
          <w:sz w:val="24"/>
          <w:szCs w:val="24"/>
        </w:rPr>
      </w:pPr>
      <w:r w:rsidRPr="00DE5807">
        <w:rPr>
          <w:rStyle w:val="Headerorfooter2"/>
          <w:rFonts w:ascii="Sylfaen" w:hAnsi="Sylfaen"/>
          <w:sz w:val="24"/>
          <w:szCs w:val="24"/>
        </w:rPr>
        <w:lastRenderedPageBreak/>
        <w:t>ՀԱՎԵԼՎԱԾ ԹԻՎ</w:t>
      </w:r>
      <w:r w:rsidRPr="00DE5807">
        <w:rPr>
          <w:rFonts w:ascii="Sylfaen" w:hAnsi="Sylfaen"/>
          <w:sz w:val="24"/>
          <w:szCs w:val="24"/>
        </w:rPr>
        <w:t xml:space="preserve"> 1</w:t>
      </w:r>
    </w:p>
    <w:p w:rsidR="00520CF1" w:rsidRPr="00DE5807" w:rsidRDefault="00480954" w:rsidP="00214C17">
      <w:pPr>
        <w:pStyle w:val="Bodytext20"/>
        <w:shd w:val="clear" w:color="auto" w:fill="auto"/>
        <w:spacing w:before="0" w:after="160" w:line="360" w:lineRule="auto"/>
        <w:ind w:left="4253" w:firstLine="0"/>
        <w:jc w:val="center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</w:t>
      </w:r>
      <w:r w:rsidRPr="00DE5807">
        <w:rPr>
          <w:rFonts w:ascii="Sylfaen" w:hAnsi="Sylfaen"/>
          <w:spacing w:val="-4"/>
          <w:sz w:val="24"/>
          <w:szCs w:val="24"/>
        </w:rPr>
        <w:t xml:space="preserve">ստեղծման, գործունեության ապահովման </w:t>
      </w:r>
      <w:r w:rsidR="00214C17" w:rsidRPr="00DE5807">
        <w:rPr>
          <w:rFonts w:ascii="Sylfaen" w:hAnsi="Sylfaen"/>
          <w:spacing w:val="-4"/>
          <w:sz w:val="24"/>
          <w:szCs w:val="24"/>
        </w:rPr>
        <w:t>եւ</w:t>
      </w:r>
      <w:r w:rsidRPr="00DE5807">
        <w:rPr>
          <w:rFonts w:ascii="Sylfaen" w:hAnsi="Sylfaen"/>
          <w:spacing w:val="-4"/>
          <w:sz w:val="24"/>
          <w:szCs w:val="24"/>
        </w:rPr>
        <w:t xml:space="preserve"> զարգացման</w:t>
      </w:r>
      <w:r w:rsidRPr="00DE5807">
        <w:rPr>
          <w:rFonts w:ascii="Sylfaen" w:hAnsi="Sylfaen"/>
          <w:sz w:val="24"/>
          <w:szCs w:val="24"/>
        </w:rPr>
        <w:t xml:space="preserve"> </w:t>
      </w:r>
      <w:r w:rsidR="00E1677B" w:rsidRPr="00DE5807">
        <w:rPr>
          <w:rFonts w:ascii="Sylfaen" w:hAnsi="Sylfaen"/>
          <w:sz w:val="24"/>
          <w:szCs w:val="24"/>
        </w:rPr>
        <w:t xml:space="preserve">2017-2018 թվականների </w:t>
      </w:r>
      <w:r w:rsidRPr="00DE5807">
        <w:rPr>
          <w:rFonts w:ascii="Sylfaen" w:hAnsi="Sylfaen"/>
          <w:sz w:val="24"/>
          <w:szCs w:val="24"/>
        </w:rPr>
        <w:t>միջոցառումների պլանի</w:t>
      </w:r>
    </w:p>
    <w:p w:rsidR="00520CF1" w:rsidRPr="00DE5807" w:rsidRDefault="00520CF1" w:rsidP="00214C17">
      <w:pPr>
        <w:spacing w:after="160" w:line="360" w:lineRule="auto"/>
        <w:jc w:val="center"/>
      </w:pPr>
    </w:p>
    <w:p w:rsidR="00520CF1" w:rsidRPr="00DE5807" w:rsidRDefault="00480954" w:rsidP="00214C17">
      <w:pPr>
        <w:pStyle w:val="Heading30"/>
        <w:shd w:val="clear" w:color="auto" w:fill="auto"/>
        <w:spacing w:before="0" w:after="160" w:line="360" w:lineRule="auto"/>
        <w:ind w:left="567" w:right="559"/>
        <w:outlineLvl w:val="9"/>
        <w:rPr>
          <w:rFonts w:ascii="Sylfaen" w:hAnsi="Sylfaen"/>
          <w:sz w:val="24"/>
          <w:szCs w:val="24"/>
        </w:rPr>
      </w:pPr>
      <w:bookmarkStart w:id="3" w:name="bookmark3"/>
      <w:r w:rsidRPr="00DE5807">
        <w:rPr>
          <w:rStyle w:val="Heading3Spacing2pt"/>
          <w:rFonts w:ascii="Sylfaen" w:hAnsi="Sylfaen"/>
          <w:b/>
          <w:spacing w:val="0"/>
          <w:sz w:val="24"/>
          <w:szCs w:val="24"/>
        </w:rPr>
        <w:t>ՑԱՆԿ</w:t>
      </w:r>
      <w:bookmarkEnd w:id="3"/>
    </w:p>
    <w:p w:rsidR="00520CF1" w:rsidRPr="00DE5807" w:rsidRDefault="00480954" w:rsidP="00214C1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Եվրասիական տնտեսական միության շրջանակներում ընդհանուր գործընթացների իրագործման համար առաջնահերթ ուղղությունների</w:t>
      </w:r>
    </w:p>
    <w:p w:rsidR="00520CF1" w:rsidRPr="00DE5807" w:rsidRDefault="00520CF1" w:rsidP="00214C17">
      <w:pPr>
        <w:spacing w:after="160" w:line="360" w:lineRule="auto"/>
        <w:jc w:val="center"/>
      </w:pPr>
    </w:p>
    <w:p w:rsidR="00520CF1" w:rsidRPr="00DE5807" w:rsidRDefault="00480954" w:rsidP="00214C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1.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 xml:space="preserve">Մաքսասակագնային </w:t>
      </w:r>
      <w:r w:rsidR="00214C17" w:rsidRPr="00DE5807">
        <w:rPr>
          <w:rFonts w:ascii="Sylfaen" w:hAnsi="Sylfaen"/>
          <w:sz w:val="24"/>
          <w:szCs w:val="24"/>
        </w:rPr>
        <w:t>եւ</w:t>
      </w:r>
      <w:r w:rsidRPr="00DE5807">
        <w:rPr>
          <w:rFonts w:ascii="Sylfaen" w:hAnsi="Sylfaen"/>
          <w:sz w:val="24"/>
          <w:szCs w:val="24"/>
        </w:rPr>
        <w:t xml:space="preserve"> ոչ սակագնային կարգավորում:</w:t>
      </w:r>
    </w:p>
    <w:p w:rsidR="00520CF1" w:rsidRPr="00DE5807" w:rsidRDefault="00480954" w:rsidP="00214C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2.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Մաքսային կարգավորում:</w:t>
      </w:r>
    </w:p>
    <w:p w:rsidR="00520CF1" w:rsidRPr="00DE5807" w:rsidRDefault="00480954" w:rsidP="00214C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3.</w:t>
      </w:r>
      <w:r w:rsidR="00214C17" w:rsidRPr="00DE5807">
        <w:rPr>
          <w:rFonts w:ascii="Sylfaen" w:hAnsi="Sylfaen"/>
          <w:sz w:val="24"/>
          <w:szCs w:val="24"/>
        </w:rPr>
        <w:tab/>
      </w:r>
      <w:r w:rsidR="00E1677B" w:rsidRPr="00DE5807">
        <w:rPr>
          <w:rFonts w:ascii="Sylfaen" w:hAnsi="Sylfaen"/>
          <w:sz w:val="24"/>
          <w:szCs w:val="24"/>
        </w:rPr>
        <w:t>Ս</w:t>
      </w:r>
      <w:r w:rsidRPr="00DE5807">
        <w:rPr>
          <w:rFonts w:ascii="Sylfaen" w:hAnsi="Sylfaen"/>
          <w:sz w:val="24"/>
          <w:szCs w:val="24"/>
        </w:rPr>
        <w:t xml:space="preserve">անիտարական, անասնաբուժասանիտարական </w:t>
      </w:r>
      <w:r w:rsidR="00214C17" w:rsidRPr="00DE5807">
        <w:rPr>
          <w:rFonts w:ascii="Sylfaen" w:hAnsi="Sylfaen"/>
          <w:sz w:val="24"/>
          <w:szCs w:val="24"/>
        </w:rPr>
        <w:t>եւ</w:t>
      </w:r>
      <w:r w:rsidRPr="00DE5807">
        <w:rPr>
          <w:rFonts w:ascii="Sylfaen" w:hAnsi="Sylfaen"/>
          <w:sz w:val="24"/>
          <w:szCs w:val="24"/>
        </w:rPr>
        <w:t xml:space="preserve"> կարանտինային բուսասանիտարական միջոցների տեխնիկական </w:t>
      </w:r>
      <w:r w:rsidR="00E1677B" w:rsidRPr="00DE5807">
        <w:rPr>
          <w:rFonts w:ascii="Sylfaen" w:hAnsi="Sylfaen"/>
          <w:sz w:val="24"/>
          <w:szCs w:val="24"/>
        </w:rPr>
        <w:t>կարգավորում</w:t>
      </w:r>
      <w:r w:rsidRPr="00DE5807">
        <w:rPr>
          <w:rFonts w:ascii="Sylfaen" w:hAnsi="Sylfaen"/>
          <w:sz w:val="24"/>
          <w:szCs w:val="24"/>
        </w:rPr>
        <w:t>, կիրառում:</w:t>
      </w:r>
    </w:p>
    <w:p w:rsidR="00520CF1" w:rsidRPr="00DE5807" w:rsidRDefault="00480954" w:rsidP="00214C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4.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Արտաքին տնտեսական գործունեության կարգավորման համակարգում «մեկ պատուհանի» ազգային մեխանիզմների տեղեկատվական փոխգործակցություն:</w:t>
      </w:r>
    </w:p>
    <w:p w:rsidR="00520CF1" w:rsidRPr="00DE5807" w:rsidRDefault="00480954" w:rsidP="00214C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5.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Եվրասիական տնտեսական միությունում ապրանքների հետագծելիություն:</w:t>
      </w:r>
    </w:p>
    <w:p w:rsidR="00520CF1" w:rsidRPr="00DE5807" w:rsidRDefault="00480954" w:rsidP="00214C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6.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 xml:space="preserve">Ներմուծման մաքսատուրքերի հաշվեգրում </w:t>
      </w:r>
      <w:r w:rsidR="00214C17" w:rsidRPr="00DE5807">
        <w:rPr>
          <w:rFonts w:ascii="Sylfaen" w:hAnsi="Sylfaen"/>
          <w:sz w:val="24"/>
          <w:szCs w:val="24"/>
        </w:rPr>
        <w:t>եւ</w:t>
      </w:r>
      <w:r w:rsidRPr="00DE5807">
        <w:rPr>
          <w:rFonts w:ascii="Sylfaen" w:hAnsi="Sylfaen"/>
          <w:sz w:val="24"/>
          <w:szCs w:val="24"/>
        </w:rPr>
        <w:t xml:space="preserve"> բաշխում:</w:t>
      </w:r>
    </w:p>
    <w:p w:rsidR="00520CF1" w:rsidRPr="00DE5807" w:rsidRDefault="00480954" w:rsidP="00214C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7.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 xml:space="preserve">Հատուկ, հակագնագցման </w:t>
      </w:r>
      <w:r w:rsidR="00214C17" w:rsidRPr="00DE5807">
        <w:rPr>
          <w:rFonts w:ascii="Sylfaen" w:hAnsi="Sylfaen"/>
          <w:sz w:val="24"/>
          <w:szCs w:val="24"/>
        </w:rPr>
        <w:t>եւ</w:t>
      </w:r>
      <w:r w:rsidRPr="00DE5807">
        <w:rPr>
          <w:rFonts w:ascii="Sylfaen" w:hAnsi="Sylfaen"/>
          <w:sz w:val="24"/>
          <w:szCs w:val="24"/>
        </w:rPr>
        <w:t xml:space="preserve"> փոխհատուցման տուրքերի հաշվեգրում </w:t>
      </w:r>
      <w:r w:rsidR="00214C17" w:rsidRPr="00DE5807">
        <w:rPr>
          <w:rFonts w:ascii="Sylfaen" w:hAnsi="Sylfaen"/>
          <w:sz w:val="24"/>
          <w:szCs w:val="24"/>
        </w:rPr>
        <w:t>եւ</w:t>
      </w:r>
      <w:r w:rsidRPr="00DE5807">
        <w:rPr>
          <w:rFonts w:ascii="Sylfaen" w:hAnsi="Sylfaen"/>
          <w:sz w:val="24"/>
          <w:szCs w:val="24"/>
        </w:rPr>
        <w:t xml:space="preserve"> բաշխում:</w:t>
      </w:r>
    </w:p>
    <w:p w:rsidR="00520CF1" w:rsidRPr="00DE5807" w:rsidRDefault="00480954" w:rsidP="00214C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8.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Մրցակցային (հակամենաշնորհային) քաղաքականություն:</w:t>
      </w:r>
    </w:p>
    <w:p w:rsidR="00520CF1" w:rsidRPr="00DE5807" w:rsidRDefault="00480954" w:rsidP="00214C1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9.</w:t>
      </w:r>
      <w:r w:rsidR="00214C17" w:rsidRPr="00DE5807">
        <w:rPr>
          <w:rFonts w:ascii="Sylfaen" w:hAnsi="Sylfaen"/>
          <w:sz w:val="24"/>
          <w:szCs w:val="24"/>
        </w:rPr>
        <w:tab/>
      </w:r>
      <w:r w:rsidR="00E1677B" w:rsidRPr="00DE5807">
        <w:rPr>
          <w:rFonts w:ascii="Sylfaen" w:hAnsi="Sylfaen"/>
          <w:sz w:val="24"/>
          <w:szCs w:val="24"/>
        </w:rPr>
        <w:t>Է</w:t>
      </w:r>
      <w:r w:rsidRPr="00DE5807">
        <w:rPr>
          <w:rFonts w:ascii="Sylfaen" w:hAnsi="Sylfaen"/>
          <w:sz w:val="24"/>
          <w:szCs w:val="24"/>
        </w:rPr>
        <w:t>ներգետիկ քաղաքականություն:</w:t>
      </w:r>
    </w:p>
    <w:p w:rsidR="00520CF1" w:rsidRPr="00DE5807" w:rsidRDefault="00480954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lastRenderedPageBreak/>
        <w:t>10.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Արժութային քաղաքականություն:</w:t>
      </w:r>
    </w:p>
    <w:p w:rsidR="00520CF1" w:rsidRPr="00DE5807" w:rsidRDefault="00480954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11.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Մտավոր սեփականություն:</w:t>
      </w:r>
    </w:p>
    <w:p w:rsidR="00520CF1" w:rsidRPr="00DE5807" w:rsidRDefault="00480954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12.</w:t>
      </w:r>
      <w:r w:rsidR="00214C17" w:rsidRPr="00DE5807">
        <w:rPr>
          <w:rFonts w:ascii="Sylfaen" w:hAnsi="Sylfaen"/>
          <w:sz w:val="24"/>
          <w:szCs w:val="24"/>
        </w:rPr>
        <w:tab/>
      </w:r>
      <w:r w:rsidR="00E1677B" w:rsidRPr="00DE5807">
        <w:rPr>
          <w:rFonts w:ascii="Sylfaen" w:hAnsi="Sylfaen"/>
          <w:sz w:val="24"/>
          <w:szCs w:val="24"/>
        </w:rPr>
        <w:t>Ֆ</w:t>
      </w:r>
      <w:r w:rsidRPr="00DE5807">
        <w:rPr>
          <w:rFonts w:ascii="Sylfaen" w:hAnsi="Sylfaen"/>
          <w:sz w:val="24"/>
          <w:szCs w:val="24"/>
        </w:rPr>
        <w:t>ինանսական շուկաներ (բանկային ոլորտ, ապահովագրական ոլորտ, արժույթի շուկա, արժեթղթերի շուկա):</w:t>
      </w:r>
    </w:p>
    <w:p w:rsidR="00520CF1" w:rsidRPr="00DE5807" w:rsidRDefault="00480954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13.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Եվրասիական տնտեսական միության մարմինների գործունեության ապահովում:</w:t>
      </w:r>
    </w:p>
    <w:p w:rsidR="00520CF1" w:rsidRPr="00DE5807" w:rsidRDefault="00480954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14.</w:t>
      </w:r>
      <w:r w:rsidR="00214C17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Արդյունաբերական քաղաքականություն:</w:t>
      </w:r>
    </w:p>
    <w:p w:rsidR="00520CF1" w:rsidRPr="00DE5807" w:rsidRDefault="00402E2D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15.</w:t>
      </w:r>
      <w:r w:rsidR="000775D3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Ագրոարդյունաբերական քաղաքականություն:</w:t>
      </w:r>
    </w:p>
    <w:p w:rsidR="00520CF1" w:rsidRPr="00DE5807" w:rsidRDefault="00402E2D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16.</w:t>
      </w:r>
      <w:r w:rsidR="000775D3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 xml:space="preserve">Դեղամիջոցների </w:t>
      </w:r>
      <w:r w:rsidR="00214C17" w:rsidRPr="00DE5807">
        <w:rPr>
          <w:rFonts w:ascii="Sylfaen" w:hAnsi="Sylfaen"/>
          <w:sz w:val="24"/>
          <w:szCs w:val="24"/>
        </w:rPr>
        <w:t>եւ</w:t>
      </w:r>
      <w:r w:rsidRPr="00DE5807">
        <w:rPr>
          <w:rFonts w:ascii="Sylfaen" w:hAnsi="Sylfaen"/>
          <w:sz w:val="24"/>
          <w:szCs w:val="24"/>
        </w:rPr>
        <w:t xml:space="preserve"> բժշկական արտադրատեսակների շրջանառություն:</w:t>
      </w:r>
    </w:p>
    <w:p w:rsidR="00520CF1" w:rsidRPr="00DE5807" w:rsidRDefault="00402E2D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17.</w:t>
      </w:r>
      <w:r w:rsidR="000775D3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Աշխատանքային միգրացիա:</w:t>
      </w:r>
    </w:p>
    <w:p w:rsidR="00520CF1" w:rsidRPr="00DE5807" w:rsidRDefault="00402E2D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18.</w:t>
      </w:r>
      <w:r w:rsidR="000775D3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Պետական (համայնքային) գնումներ:</w:t>
      </w:r>
    </w:p>
    <w:p w:rsidR="00520CF1" w:rsidRPr="00DE5807" w:rsidRDefault="00402E2D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19.</w:t>
      </w:r>
      <w:r w:rsidR="000775D3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Ներքին շուկաների գործունեություն:</w:t>
      </w:r>
    </w:p>
    <w:p w:rsidR="00520CF1" w:rsidRPr="00DE5807" w:rsidRDefault="00402E2D" w:rsidP="000775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20.</w:t>
      </w:r>
      <w:r w:rsidR="000775D3" w:rsidRPr="00DE5807">
        <w:rPr>
          <w:rFonts w:ascii="Sylfaen" w:hAnsi="Sylfaen"/>
          <w:sz w:val="24"/>
          <w:szCs w:val="24"/>
        </w:rPr>
        <w:tab/>
      </w:r>
      <w:r w:rsidRPr="00DE5807">
        <w:rPr>
          <w:rFonts w:ascii="Sylfaen" w:hAnsi="Sylfaen"/>
          <w:sz w:val="24"/>
          <w:szCs w:val="24"/>
        </w:rPr>
        <w:t>Մակրոտնտեսական քաղաքականություն:</w:t>
      </w:r>
    </w:p>
    <w:p w:rsidR="00402E2D" w:rsidRPr="00DE5807" w:rsidRDefault="000775D3" w:rsidP="000775D3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DE5807">
        <w:rPr>
          <w:rFonts w:ascii="Sylfaen" w:hAnsi="Sylfaen"/>
          <w:sz w:val="24"/>
          <w:szCs w:val="24"/>
          <w:lang w:val="en-US"/>
        </w:rPr>
        <w:t>____________</w:t>
      </w:r>
    </w:p>
    <w:p w:rsidR="000775D3" w:rsidRPr="00DE5807" w:rsidRDefault="000775D3" w:rsidP="00214C1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402E2D" w:rsidRPr="00DE5807" w:rsidRDefault="00402E2D" w:rsidP="00214C1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  <w:sectPr w:rsidR="00402E2D" w:rsidRPr="00DE5807" w:rsidSect="00364926">
          <w:pgSz w:w="11900" w:h="16840"/>
          <w:pgMar w:top="1418" w:right="1418" w:bottom="1418" w:left="1418" w:header="0" w:footer="781" w:gutter="0"/>
          <w:pgNumType w:start="1"/>
          <w:cols w:space="720"/>
          <w:noEndnote/>
          <w:titlePg/>
          <w:docGrid w:linePitch="360"/>
        </w:sectPr>
      </w:pPr>
    </w:p>
    <w:p w:rsidR="00520CF1" w:rsidRPr="00DE5807" w:rsidRDefault="00480954" w:rsidP="007E0989">
      <w:pPr>
        <w:pStyle w:val="Bodytext20"/>
        <w:shd w:val="clear" w:color="auto" w:fill="auto"/>
        <w:spacing w:before="0" w:after="160" w:line="360" w:lineRule="auto"/>
        <w:ind w:left="9214" w:firstLine="0"/>
        <w:jc w:val="center"/>
        <w:rPr>
          <w:rFonts w:ascii="Sylfaen" w:hAnsi="Sylfaen"/>
          <w:sz w:val="24"/>
          <w:szCs w:val="24"/>
        </w:rPr>
      </w:pPr>
      <w:r w:rsidRPr="00DE5807">
        <w:rPr>
          <w:rStyle w:val="Headerorfooter2"/>
          <w:rFonts w:ascii="Sylfaen" w:hAnsi="Sylfaen"/>
          <w:sz w:val="24"/>
          <w:szCs w:val="24"/>
        </w:rPr>
        <w:lastRenderedPageBreak/>
        <w:t>ՀԱՎԵԼՎԱԾ ԹԻՎ 2</w:t>
      </w:r>
    </w:p>
    <w:p w:rsidR="00520CF1" w:rsidRPr="00DE5807" w:rsidRDefault="00480954" w:rsidP="007E0989">
      <w:pPr>
        <w:pStyle w:val="Bodytext20"/>
        <w:shd w:val="clear" w:color="auto" w:fill="auto"/>
        <w:spacing w:before="0" w:after="160" w:line="360" w:lineRule="auto"/>
        <w:ind w:left="9214" w:firstLine="0"/>
        <w:jc w:val="center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</w:t>
      </w:r>
      <w:r w:rsidRPr="00DE5807">
        <w:rPr>
          <w:rFonts w:ascii="Sylfaen" w:hAnsi="Sylfaen"/>
          <w:spacing w:val="-4"/>
          <w:sz w:val="24"/>
          <w:szCs w:val="24"/>
        </w:rPr>
        <w:t xml:space="preserve">ստեղծման, գործունեության ապահովման </w:t>
      </w:r>
      <w:r w:rsidR="00214C17" w:rsidRPr="00DE5807">
        <w:rPr>
          <w:rFonts w:ascii="Sylfaen" w:hAnsi="Sylfaen"/>
          <w:spacing w:val="-4"/>
          <w:sz w:val="24"/>
          <w:szCs w:val="24"/>
        </w:rPr>
        <w:t>եւ</w:t>
      </w:r>
      <w:r w:rsidRPr="00DE5807">
        <w:rPr>
          <w:rFonts w:ascii="Sylfaen" w:hAnsi="Sylfaen"/>
          <w:spacing w:val="-4"/>
          <w:sz w:val="24"/>
          <w:szCs w:val="24"/>
        </w:rPr>
        <w:t xml:space="preserve"> զարգացման</w:t>
      </w:r>
      <w:r w:rsidRPr="00DE5807">
        <w:rPr>
          <w:rFonts w:ascii="Sylfaen" w:hAnsi="Sylfaen"/>
          <w:sz w:val="24"/>
          <w:szCs w:val="24"/>
        </w:rPr>
        <w:t xml:space="preserve"> </w:t>
      </w:r>
      <w:r w:rsidR="00E1677B" w:rsidRPr="00DE5807">
        <w:rPr>
          <w:rFonts w:ascii="Sylfaen" w:hAnsi="Sylfaen"/>
          <w:sz w:val="24"/>
          <w:szCs w:val="24"/>
        </w:rPr>
        <w:t xml:space="preserve">2017-2018 թվականների համար </w:t>
      </w:r>
      <w:r w:rsidRPr="00DE5807">
        <w:rPr>
          <w:rFonts w:ascii="Sylfaen" w:hAnsi="Sylfaen"/>
          <w:sz w:val="24"/>
          <w:szCs w:val="24"/>
        </w:rPr>
        <w:t>միջոցառումների պլանի</w:t>
      </w:r>
    </w:p>
    <w:p w:rsidR="00520CF1" w:rsidRPr="00DE5807" w:rsidRDefault="00520CF1" w:rsidP="000775D3">
      <w:pPr>
        <w:spacing w:after="160" w:line="360" w:lineRule="auto"/>
        <w:jc w:val="center"/>
      </w:pPr>
    </w:p>
    <w:p w:rsidR="00520CF1" w:rsidRPr="00DE5807" w:rsidRDefault="00480954" w:rsidP="007E0989">
      <w:pPr>
        <w:pStyle w:val="Heading3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4" w:name="bookmark4"/>
      <w:r w:rsidRPr="00DE5807">
        <w:rPr>
          <w:rStyle w:val="Heading3Spacing2pt"/>
          <w:rFonts w:ascii="Sylfaen" w:hAnsi="Sylfaen"/>
          <w:b/>
          <w:spacing w:val="0"/>
          <w:sz w:val="24"/>
          <w:szCs w:val="24"/>
        </w:rPr>
        <w:t>ՑԱՆԿ</w:t>
      </w:r>
      <w:bookmarkEnd w:id="4"/>
    </w:p>
    <w:p w:rsidR="00520CF1" w:rsidRPr="00DE5807" w:rsidRDefault="00480954" w:rsidP="007E0989">
      <w:pPr>
        <w:pStyle w:val="Heading30"/>
        <w:shd w:val="clear" w:color="auto" w:fill="auto"/>
        <w:spacing w:before="0" w:after="160" w:line="360" w:lineRule="auto"/>
        <w:ind w:left="567" w:right="537"/>
        <w:outlineLvl w:val="9"/>
        <w:rPr>
          <w:rFonts w:ascii="Sylfaen" w:hAnsi="Sylfaen"/>
          <w:sz w:val="24"/>
          <w:szCs w:val="24"/>
        </w:rPr>
      </w:pPr>
      <w:bookmarkStart w:id="5" w:name="bookmark5"/>
      <w:r w:rsidRPr="00DE5807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համակարգի՝ </w:t>
      </w:r>
      <w:r w:rsidR="007E0989" w:rsidRPr="00DE5807">
        <w:rPr>
          <w:rFonts w:ascii="Sylfaen" w:hAnsi="Sylfaen"/>
          <w:sz w:val="24"/>
          <w:szCs w:val="24"/>
        </w:rPr>
        <w:br/>
      </w:r>
      <w:r w:rsidRPr="00DE5807">
        <w:rPr>
          <w:rFonts w:ascii="Sylfaen" w:hAnsi="Sylfaen"/>
          <w:sz w:val="24"/>
          <w:szCs w:val="24"/>
        </w:rPr>
        <w:t>Եվրասիական տնտեսական հանձնաժողովի ինտեգրացիոն հատվածի արդիականացվող ենթահամակարգերի</w:t>
      </w:r>
      <w:bookmarkEnd w:id="5"/>
    </w:p>
    <w:tbl>
      <w:tblPr>
        <w:tblOverlap w:val="never"/>
        <w:tblW w:w="14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2282"/>
        <w:gridCol w:w="2286"/>
        <w:gridCol w:w="2279"/>
        <w:gridCol w:w="2286"/>
      </w:tblGrid>
      <w:tr w:rsidR="00520CF1" w:rsidRPr="00DE5807" w:rsidTr="00AE19BA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520CF1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Մասնավոր տեխնիկական առաջադրանքի մշակման ժամկետը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Ենթահամակարգի արդիականացման ժամկետը</w:t>
            </w:r>
          </w:p>
        </w:tc>
      </w:tr>
      <w:tr w:rsidR="00520CF1" w:rsidRPr="00DE5807" w:rsidTr="00AE19BA">
        <w:trPr>
          <w:jc w:val="center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</w:tcPr>
          <w:p w:rsidR="00520CF1" w:rsidRPr="00DE5807" w:rsidRDefault="00520CF1" w:rsidP="000775D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Փուլ 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Փուլ II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Փուլ I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Փուլ II</w:t>
            </w:r>
          </w:p>
        </w:tc>
      </w:tr>
      <w:tr w:rsidR="00520CF1" w:rsidRPr="00DE5807" w:rsidTr="00AE19BA">
        <w:trPr>
          <w:jc w:val="center"/>
        </w:trPr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0CF1" w:rsidRPr="00DE5807" w:rsidRDefault="000775D3" w:rsidP="007E0989">
            <w:pPr>
              <w:pStyle w:val="Bodytext20"/>
              <w:shd w:val="clear" w:color="auto" w:fill="auto"/>
              <w:tabs>
                <w:tab w:val="left" w:pos="442"/>
              </w:tabs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տեղեկատվական պորտալ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</w:tr>
      <w:tr w:rsidR="00520CF1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DE5807" w:rsidRDefault="000775D3" w:rsidP="007E0989">
            <w:pPr>
              <w:pStyle w:val="Bodytext20"/>
              <w:shd w:val="clear" w:color="auto" w:fill="auto"/>
              <w:tabs>
                <w:tab w:val="left" w:pos="442"/>
              </w:tabs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Տեղեկատվական-վերլուծական ենթահամակարգ</w:t>
            </w:r>
          </w:p>
        </w:tc>
        <w:tc>
          <w:tcPr>
            <w:tcW w:w="2282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520CF1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DE5807" w:rsidRDefault="000775D3" w:rsidP="007E0989">
            <w:pPr>
              <w:pStyle w:val="Bodytext20"/>
              <w:shd w:val="clear" w:color="auto" w:fill="auto"/>
              <w:tabs>
                <w:tab w:val="left" w:pos="442"/>
              </w:tabs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3.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Վիճակագրություն</w:t>
            </w:r>
          </w:p>
        </w:tc>
        <w:tc>
          <w:tcPr>
            <w:tcW w:w="2282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520CF1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DE5807" w:rsidRDefault="000775D3" w:rsidP="007E0989">
            <w:pPr>
              <w:pStyle w:val="Bodytext20"/>
              <w:shd w:val="clear" w:color="auto" w:fill="auto"/>
              <w:tabs>
                <w:tab w:val="left" w:pos="442"/>
              </w:tabs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4.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Նախագծերի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ծրագրերի կառավարում</w:t>
            </w:r>
          </w:p>
        </w:tc>
        <w:tc>
          <w:tcPr>
            <w:tcW w:w="2282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520CF1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DE5807" w:rsidRDefault="000775D3" w:rsidP="007E0989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5.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Ռիսկերի ոլորտների վերլուծություն</w:t>
            </w:r>
          </w:p>
        </w:tc>
        <w:tc>
          <w:tcPr>
            <w:tcW w:w="2282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520CF1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DE5807" w:rsidRDefault="000775D3" w:rsidP="007E0989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6.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Մասնագիտացված փաստաթղթաշրջանառություն</w:t>
            </w:r>
          </w:p>
        </w:tc>
        <w:tc>
          <w:tcPr>
            <w:tcW w:w="2282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520CF1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520CF1" w:rsidRPr="00DE5807" w:rsidRDefault="000775D3" w:rsidP="007E0989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7.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Մաքսասակագնային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ոչ սակագնային կարգավորում</w:t>
            </w:r>
          </w:p>
        </w:tc>
        <w:tc>
          <w:tcPr>
            <w:tcW w:w="2282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520CF1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bottom"/>
          </w:tcPr>
          <w:p w:rsidR="00520CF1" w:rsidRPr="00DE5807" w:rsidRDefault="000775D3" w:rsidP="007E0989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8.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Տեխնիկական կարգավորում</w:t>
            </w:r>
          </w:p>
        </w:tc>
        <w:tc>
          <w:tcPr>
            <w:tcW w:w="2282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520CF1" w:rsidRPr="00DE5807" w:rsidRDefault="00480954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520CF1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ArialBlack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19BA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bottom"/>
          </w:tcPr>
          <w:p w:rsidR="00AE19BA" w:rsidRPr="00DE5807" w:rsidRDefault="000775D3" w:rsidP="007E0989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9.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>Ընդհանուր գործընթացների կառավարում</w:t>
            </w:r>
          </w:p>
        </w:tc>
        <w:tc>
          <w:tcPr>
            <w:tcW w:w="2282" w:type="dxa"/>
            <w:shd w:val="clear" w:color="auto" w:fill="FFFFFF"/>
          </w:tcPr>
          <w:p w:rsidR="00AE19BA" w:rsidRPr="00DE5807" w:rsidRDefault="00AE19BA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279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</w:tr>
      <w:tr w:rsidR="00AE19BA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AE19BA" w:rsidRPr="00DE5807" w:rsidRDefault="000775D3" w:rsidP="007E0989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10.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>Ինտեգրացիոն հարթակ</w:t>
            </w:r>
          </w:p>
        </w:tc>
        <w:tc>
          <w:tcPr>
            <w:tcW w:w="2282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19BA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AE19BA" w:rsidRPr="00DE5807" w:rsidRDefault="000775D3" w:rsidP="007E0989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11.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>Նորմատիվ-տեղեկատվական տեղեկություններ</w:t>
            </w:r>
            <w:r w:rsidR="002D0742" w:rsidRPr="00DE5807">
              <w:rPr>
                <w:rStyle w:val="Bodytext212pt"/>
                <w:rFonts w:ascii="Sylfaen" w:hAnsi="Sylfaen"/>
                <w:sz w:val="20"/>
                <w:szCs w:val="20"/>
              </w:rPr>
              <w:t>ի</w:t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>, ռեեստրներ</w:t>
            </w:r>
            <w:r w:rsidR="002D0742" w:rsidRPr="00DE5807">
              <w:rPr>
                <w:rStyle w:val="Bodytext212pt"/>
                <w:rFonts w:ascii="Sylfaen" w:hAnsi="Sylfaen"/>
                <w:sz w:val="20"/>
                <w:szCs w:val="20"/>
              </w:rPr>
              <w:t>ի</w:t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ռեգիստրներ</w:t>
            </w:r>
            <w:r w:rsidR="002D0742" w:rsidRPr="00DE5807">
              <w:rPr>
                <w:rStyle w:val="Bodytext212pt"/>
                <w:rFonts w:ascii="Sylfaen" w:hAnsi="Sylfaen"/>
                <w:sz w:val="20"/>
                <w:szCs w:val="20"/>
              </w:rPr>
              <w:t>ի</w:t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վարում</w:t>
            </w:r>
          </w:p>
        </w:tc>
        <w:tc>
          <w:tcPr>
            <w:tcW w:w="2282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19BA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AE19BA" w:rsidRPr="00DE5807" w:rsidRDefault="000775D3" w:rsidP="007E0989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12.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>Տեղեկատվական անվտանգություն</w:t>
            </w:r>
          </w:p>
        </w:tc>
        <w:tc>
          <w:tcPr>
            <w:tcW w:w="2282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19BA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center"/>
          </w:tcPr>
          <w:p w:rsidR="00AE19BA" w:rsidRPr="00DE5807" w:rsidRDefault="000775D3" w:rsidP="007E0989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13.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Դիտանցում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կառավարում</w:t>
            </w:r>
          </w:p>
        </w:tc>
        <w:tc>
          <w:tcPr>
            <w:tcW w:w="2282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IV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E19BA" w:rsidRPr="00DE5807" w:rsidTr="00AE19BA">
        <w:trPr>
          <w:jc w:val="center"/>
        </w:trPr>
        <w:tc>
          <w:tcPr>
            <w:tcW w:w="5299" w:type="dxa"/>
            <w:shd w:val="clear" w:color="auto" w:fill="FFFFFF"/>
            <w:vAlign w:val="bottom"/>
          </w:tcPr>
          <w:p w:rsidR="00AE19BA" w:rsidRPr="00DE5807" w:rsidRDefault="000775D3" w:rsidP="007E0989">
            <w:pPr>
              <w:pStyle w:val="Bodytext20"/>
              <w:shd w:val="clear" w:color="auto" w:fill="auto"/>
              <w:tabs>
                <w:tab w:val="left" w:pos="428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14.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AE19BA" w:rsidRPr="00DE5807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հանձնաժողովի վստահված երրորդ կողմ</w:t>
            </w:r>
          </w:p>
        </w:tc>
        <w:tc>
          <w:tcPr>
            <w:tcW w:w="2282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2017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79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2018 թվականի </w:t>
            </w:r>
            <w:r w:rsidR="000775D3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br/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II եռամսյակ</w:t>
            </w:r>
          </w:p>
        </w:tc>
        <w:tc>
          <w:tcPr>
            <w:tcW w:w="2286" w:type="dxa"/>
            <w:shd w:val="clear" w:color="auto" w:fill="FFFFFF"/>
          </w:tcPr>
          <w:p w:rsidR="00AE19BA" w:rsidRPr="00DE5807" w:rsidRDefault="00AE19BA" w:rsidP="000775D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</w:tbl>
    <w:p w:rsidR="00520CF1" w:rsidRPr="00DE5807" w:rsidRDefault="007E0989" w:rsidP="007E0989">
      <w:pPr>
        <w:spacing w:after="160" w:line="360" w:lineRule="auto"/>
        <w:jc w:val="center"/>
        <w:rPr>
          <w:lang w:val="en-US"/>
        </w:rPr>
      </w:pPr>
      <w:r w:rsidRPr="00DE5807">
        <w:rPr>
          <w:lang w:val="en-US"/>
        </w:rPr>
        <w:t>_______________</w:t>
      </w:r>
    </w:p>
    <w:p w:rsidR="007E0989" w:rsidRPr="00DE5807" w:rsidRDefault="007E0989" w:rsidP="00214C17">
      <w:pPr>
        <w:spacing w:after="160" w:line="360" w:lineRule="auto"/>
        <w:rPr>
          <w:lang w:val="en-US"/>
        </w:rPr>
      </w:pPr>
    </w:p>
    <w:p w:rsidR="00520CF1" w:rsidRPr="00DE5807" w:rsidRDefault="00520CF1" w:rsidP="00214C17">
      <w:pPr>
        <w:spacing w:after="160" w:line="360" w:lineRule="auto"/>
        <w:sectPr w:rsidR="00520CF1" w:rsidRPr="00DE5807" w:rsidSect="00364926">
          <w:pgSz w:w="16840" w:h="11900" w:orient="landscape"/>
          <w:pgMar w:top="1418" w:right="1418" w:bottom="1418" w:left="1418" w:header="0" w:footer="661" w:gutter="0"/>
          <w:pgNumType w:start="1"/>
          <w:cols w:space="720"/>
          <w:noEndnote/>
          <w:titlePg/>
          <w:docGrid w:linePitch="360"/>
        </w:sectPr>
      </w:pPr>
    </w:p>
    <w:p w:rsidR="00520CF1" w:rsidRPr="00DE5807" w:rsidRDefault="00480954" w:rsidP="007E0989">
      <w:pPr>
        <w:pStyle w:val="Bodytext20"/>
        <w:shd w:val="clear" w:color="auto" w:fill="auto"/>
        <w:spacing w:before="0" w:after="160" w:line="360" w:lineRule="auto"/>
        <w:ind w:left="4253" w:firstLine="0"/>
        <w:jc w:val="center"/>
        <w:rPr>
          <w:rFonts w:ascii="Sylfaen" w:hAnsi="Sylfaen"/>
          <w:sz w:val="24"/>
          <w:szCs w:val="24"/>
        </w:rPr>
      </w:pPr>
      <w:r w:rsidRPr="00DE5807">
        <w:rPr>
          <w:rStyle w:val="Headerorfooter2"/>
          <w:rFonts w:ascii="Sylfaen" w:hAnsi="Sylfaen"/>
          <w:sz w:val="24"/>
          <w:szCs w:val="24"/>
        </w:rPr>
        <w:lastRenderedPageBreak/>
        <w:t>ՀԱՎԵԼՎԱԾ ԹԻՎ</w:t>
      </w:r>
      <w:r w:rsidRPr="00DE5807">
        <w:rPr>
          <w:rFonts w:ascii="Sylfaen" w:hAnsi="Sylfaen"/>
          <w:sz w:val="24"/>
          <w:szCs w:val="24"/>
        </w:rPr>
        <w:t xml:space="preserve"> 3</w:t>
      </w:r>
    </w:p>
    <w:p w:rsidR="00520CF1" w:rsidRPr="00DE5807" w:rsidRDefault="00480954" w:rsidP="007E0989">
      <w:pPr>
        <w:pStyle w:val="Bodytext20"/>
        <w:shd w:val="clear" w:color="auto" w:fill="auto"/>
        <w:spacing w:before="0" w:after="160" w:line="360" w:lineRule="auto"/>
        <w:ind w:left="4253" w:firstLine="0"/>
        <w:jc w:val="center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ստեղծման, գործունեության ապահովման </w:t>
      </w:r>
      <w:r w:rsidR="00214C17" w:rsidRPr="00DE5807">
        <w:rPr>
          <w:rFonts w:ascii="Sylfaen" w:hAnsi="Sylfaen"/>
          <w:sz w:val="24"/>
          <w:szCs w:val="24"/>
        </w:rPr>
        <w:t>եւ</w:t>
      </w:r>
      <w:r w:rsidRPr="00DE5807">
        <w:rPr>
          <w:rFonts w:ascii="Sylfaen" w:hAnsi="Sylfaen"/>
          <w:sz w:val="24"/>
          <w:szCs w:val="24"/>
        </w:rPr>
        <w:t xml:space="preserve"> զարգացման </w:t>
      </w:r>
      <w:r w:rsidR="002D0742" w:rsidRPr="00DE5807">
        <w:rPr>
          <w:rFonts w:ascii="Sylfaen" w:hAnsi="Sylfaen"/>
          <w:sz w:val="24"/>
          <w:szCs w:val="24"/>
        </w:rPr>
        <w:t xml:space="preserve">2017-2018 թվականների </w:t>
      </w:r>
      <w:r w:rsidRPr="00DE5807">
        <w:rPr>
          <w:rFonts w:ascii="Sylfaen" w:hAnsi="Sylfaen"/>
          <w:sz w:val="24"/>
          <w:szCs w:val="24"/>
        </w:rPr>
        <w:t>միջոցառումների պլանի</w:t>
      </w:r>
    </w:p>
    <w:p w:rsidR="00520CF1" w:rsidRPr="00DE5807" w:rsidRDefault="00520CF1" w:rsidP="007E0989">
      <w:pPr>
        <w:spacing w:after="160" w:line="360" w:lineRule="auto"/>
        <w:jc w:val="center"/>
      </w:pPr>
    </w:p>
    <w:p w:rsidR="00520CF1" w:rsidRPr="00DE5807" w:rsidRDefault="00480954" w:rsidP="007E0989">
      <w:pPr>
        <w:pStyle w:val="Heading30"/>
        <w:shd w:val="clear" w:color="auto" w:fill="auto"/>
        <w:spacing w:before="0" w:after="160" w:line="360" w:lineRule="auto"/>
        <w:ind w:left="567" w:right="559"/>
        <w:outlineLvl w:val="9"/>
        <w:rPr>
          <w:rFonts w:ascii="Sylfaen" w:hAnsi="Sylfaen"/>
          <w:sz w:val="24"/>
          <w:szCs w:val="24"/>
        </w:rPr>
      </w:pPr>
      <w:bookmarkStart w:id="6" w:name="bookmark6"/>
      <w:r w:rsidRPr="00DE5807">
        <w:rPr>
          <w:rStyle w:val="Heading3Spacing2pt"/>
          <w:rFonts w:ascii="Sylfaen" w:hAnsi="Sylfaen"/>
          <w:b/>
          <w:spacing w:val="0"/>
          <w:sz w:val="24"/>
          <w:szCs w:val="24"/>
        </w:rPr>
        <w:t>ՑԱՆԿ</w:t>
      </w:r>
      <w:bookmarkEnd w:id="6"/>
    </w:p>
    <w:p w:rsidR="00520CF1" w:rsidRPr="00DE5807" w:rsidRDefault="00480954" w:rsidP="007E0989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>Եվրասիական տնտեսական միության ինտեգրված տեղեկատվական համակարգի՝ Եվրասիական տնտեսական հանձնաժողովի ինտեգրացիոն հատվածի կազմում ստեղծվող ենթահամակարգերի</w:t>
      </w:r>
    </w:p>
    <w:tbl>
      <w:tblPr>
        <w:tblOverlap w:val="never"/>
        <w:tblW w:w="95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9"/>
        <w:gridCol w:w="3775"/>
      </w:tblGrid>
      <w:tr w:rsidR="00520CF1" w:rsidRPr="00DE5807" w:rsidTr="007E0989">
        <w:trPr>
          <w:jc w:val="center"/>
        </w:trPr>
        <w:tc>
          <w:tcPr>
            <w:tcW w:w="5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520CF1" w:rsidP="007E098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CF1" w:rsidRPr="00DE5807" w:rsidRDefault="0048095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Fonts w:ascii="Sylfaen" w:hAnsi="Sylfaen"/>
                <w:sz w:val="20"/>
                <w:szCs w:val="20"/>
              </w:rPr>
              <w:t xml:space="preserve">Նախագծման </w:t>
            </w:r>
            <w:r w:rsidR="00214C17" w:rsidRPr="00DE5807">
              <w:rPr>
                <w:rFonts w:ascii="Sylfaen" w:hAnsi="Sylfaen"/>
                <w:sz w:val="20"/>
                <w:szCs w:val="20"/>
              </w:rPr>
              <w:t>եւ</w:t>
            </w:r>
            <w:r w:rsidRPr="00DE5807">
              <w:rPr>
                <w:rFonts w:ascii="Sylfaen" w:hAnsi="Sylfaen"/>
                <w:sz w:val="20"/>
                <w:szCs w:val="20"/>
              </w:rPr>
              <w:t xml:space="preserve"> իրա</w:t>
            </w:r>
            <w:r w:rsidR="002D0742" w:rsidRPr="00DE5807">
              <w:rPr>
                <w:rFonts w:ascii="Sylfaen" w:hAnsi="Sylfaen"/>
                <w:sz w:val="20"/>
                <w:szCs w:val="20"/>
              </w:rPr>
              <w:t>գործ</w:t>
            </w:r>
            <w:r w:rsidRPr="00DE5807">
              <w:rPr>
                <w:rFonts w:ascii="Sylfaen" w:hAnsi="Sylfaen"/>
                <w:sz w:val="20"/>
                <w:szCs w:val="20"/>
              </w:rPr>
              <w:t>ման ժամկետ</w:t>
            </w:r>
          </w:p>
        </w:tc>
      </w:tr>
      <w:tr w:rsidR="00520CF1" w:rsidRPr="00DE5807" w:rsidTr="007E0989">
        <w:trPr>
          <w:jc w:val="center"/>
        </w:trPr>
        <w:tc>
          <w:tcPr>
            <w:tcW w:w="57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0CF1" w:rsidRPr="00DE5807" w:rsidRDefault="00480954" w:rsidP="007E0989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Fonts w:ascii="Sylfaen" w:hAnsi="Sylfaen"/>
                <w:sz w:val="20"/>
                <w:szCs w:val="20"/>
              </w:rPr>
              <w:t>1</w:t>
            </w:r>
            <w:r w:rsidR="007E0989" w:rsidRPr="00DE5807">
              <w:rPr>
                <w:rFonts w:ascii="Sylfaen" w:hAnsi="Sylfaen"/>
                <w:sz w:val="20"/>
                <w:szCs w:val="20"/>
              </w:rPr>
              <w:t>.</w:t>
            </w:r>
            <w:r w:rsidR="007E0989" w:rsidRPr="00DE5807">
              <w:rPr>
                <w:rFonts w:ascii="Sylfaen" w:hAnsi="Sylfaen"/>
                <w:sz w:val="20"/>
                <w:szCs w:val="20"/>
              </w:rPr>
              <w:tab/>
            </w:r>
            <w:r w:rsidRPr="00DE5807">
              <w:rPr>
                <w:rFonts w:ascii="Sylfaen" w:hAnsi="Sylfaen"/>
                <w:sz w:val="20"/>
                <w:szCs w:val="20"/>
              </w:rPr>
              <w:t>Արտաքին տնտեսական գործունեության սուբյեկտների նույնականացում</w:t>
            </w:r>
          </w:p>
        </w:tc>
        <w:tc>
          <w:tcPr>
            <w:tcW w:w="3775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48095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Fonts w:ascii="Sylfaen" w:hAnsi="Sylfaen"/>
                <w:sz w:val="20"/>
                <w:szCs w:val="20"/>
              </w:rPr>
              <w:t>2017 թվականի IV եռամսյակ</w:t>
            </w:r>
          </w:p>
        </w:tc>
      </w:tr>
      <w:tr w:rsidR="00520CF1" w:rsidRPr="00DE5807" w:rsidTr="007E0989">
        <w:trPr>
          <w:jc w:val="center"/>
        </w:trPr>
        <w:tc>
          <w:tcPr>
            <w:tcW w:w="5769" w:type="dxa"/>
            <w:shd w:val="clear" w:color="auto" w:fill="FFFFFF"/>
            <w:vAlign w:val="center"/>
          </w:tcPr>
          <w:p w:rsidR="00520CF1" w:rsidRPr="00DE5807" w:rsidRDefault="007E0989" w:rsidP="007E0989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Fonts w:ascii="Sylfaen" w:hAnsi="Sylfaen"/>
                <w:sz w:val="20"/>
                <w:szCs w:val="20"/>
              </w:rPr>
              <w:t>2.</w:t>
            </w:r>
            <w:r w:rsidRPr="00DE5807">
              <w:rPr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Fonts w:ascii="Sylfaen" w:hAnsi="Sylfaen"/>
                <w:sz w:val="20"/>
                <w:szCs w:val="20"/>
              </w:rPr>
              <w:t>Դատական գործավարություն</w:t>
            </w:r>
          </w:p>
        </w:tc>
        <w:tc>
          <w:tcPr>
            <w:tcW w:w="3775" w:type="dxa"/>
            <w:shd w:val="clear" w:color="auto" w:fill="FFFFFF"/>
            <w:vAlign w:val="center"/>
          </w:tcPr>
          <w:p w:rsidR="00520CF1" w:rsidRPr="00DE5807" w:rsidRDefault="00480954" w:rsidP="007E098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Fonts w:ascii="Sylfaen" w:hAnsi="Sylfaen"/>
                <w:sz w:val="20"/>
                <w:szCs w:val="20"/>
              </w:rPr>
              <w:t>2018 թվականի IV եռամսյակ</w:t>
            </w:r>
          </w:p>
        </w:tc>
      </w:tr>
    </w:tbl>
    <w:p w:rsidR="00520CF1" w:rsidRPr="00DE5807" w:rsidRDefault="00520CF1" w:rsidP="00214C17">
      <w:pPr>
        <w:spacing w:after="160" w:line="360" w:lineRule="auto"/>
      </w:pPr>
    </w:p>
    <w:p w:rsidR="00520CF1" w:rsidRPr="00DE5807" w:rsidRDefault="007E0989" w:rsidP="007E0989">
      <w:pPr>
        <w:spacing w:after="160" w:line="360" w:lineRule="auto"/>
        <w:jc w:val="center"/>
        <w:rPr>
          <w:lang w:val="en-US"/>
        </w:rPr>
      </w:pPr>
      <w:r w:rsidRPr="00DE5807">
        <w:rPr>
          <w:lang w:val="en-US"/>
        </w:rPr>
        <w:t>_____________</w:t>
      </w:r>
    </w:p>
    <w:p w:rsidR="007E0989" w:rsidRPr="00DE5807" w:rsidRDefault="007E0989" w:rsidP="00214C17">
      <w:pPr>
        <w:spacing w:after="160" w:line="360" w:lineRule="auto"/>
        <w:rPr>
          <w:lang w:val="en-US"/>
        </w:rPr>
      </w:pPr>
    </w:p>
    <w:p w:rsidR="007E0989" w:rsidRPr="00DE5807" w:rsidRDefault="007E0989" w:rsidP="00214C17">
      <w:pPr>
        <w:spacing w:after="160" w:line="360" w:lineRule="auto"/>
        <w:rPr>
          <w:lang w:val="en-US"/>
        </w:rPr>
        <w:sectPr w:rsidR="007E0989" w:rsidRPr="00DE5807" w:rsidSect="00364926">
          <w:pgSz w:w="11900" w:h="16840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520CF1" w:rsidRPr="00DE5807" w:rsidRDefault="00480954" w:rsidP="007E0989">
      <w:pPr>
        <w:pStyle w:val="Bodytext20"/>
        <w:shd w:val="clear" w:color="auto" w:fill="auto"/>
        <w:spacing w:before="0" w:after="160" w:line="360" w:lineRule="auto"/>
        <w:ind w:left="4253" w:firstLine="0"/>
        <w:jc w:val="center"/>
        <w:rPr>
          <w:rFonts w:ascii="Sylfaen" w:hAnsi="Sylfaen"/>
          <w:sz w:val="24"/>
          <w:szCs w:val="24"/>
        </w:rPr>
      </w:pPr>
      <w:r w:rsidRPr="00DE5807">
        <w:rPr>
          <w:rStyle w:val="Headerorfooter2"/>
          <w:rFonts w:ascii="Sylfaen" w:hAnsi="Sylfaen"/>
          <w:sz w:val="24"/>
          <w:szCs w:val="24"/>
        </w:rPr>
        <w:lastRenderedPageBreak/>
        <w:t>ՀԱՎԵԼՎԱԾ ԹԻՎ</w:t>
      </w:r>
      <w:r w:rsidRPr="00DE5807">
        <w:rPr>
          <w:rFonts w:ascii="Sylfaen" w:hAnsi="Sylfaen"/>
          <w:sz w:val="24"/>
          <w:szCs w:val="24"/>
        </w:rPr>
        <w:t xml:space="preserve"> 4</w:t>
      </w:r>
    </w:p>
    <w:p w:rsidR="00520CF1" w:rsidRPr="00DE5807" w:rsidRDefault="00480954" w:rsidP="007E0989">
      <w:pPr>
        <w:pStyle w:val="Bodytext20"/>
        <w:shd w:val="clear" w:color="auto" w:fill="auto"/>
        <w:spacing w:before="0" w:after="160" w:line="360" w:lineRule="auto"/>
        <w:ind w:left="4253" w:firstLine="0"/>
        <w:jc w:val="center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</w:t>
      </w:r>
      <w:r w:rsidRPr="00DE5807">
        <w:rPr>
          <w:rFonts w:ascii="Sylfaen" w:hAnsi="Sylfaen"/>
          <w:spacing w:val="-2"/>
          <w:sz w:val="24"/>
          <w:szCs w:val="24"/>
        </w:rPr>
        <w:t xml:space="preserve">ստեղծման, գործունեության ապահովման </w:t>
      </w:r>
      <w:r w:rsidR="00214C17" w:rsidRPr="00DE5807">
        <w:rPr>
          <w:rFonts w:ascii="Sylfaen" w:hAnsi="Sylfaen"/>
          <w:spacing w:val="-2"/>
          <w:sz w:val="24"/>
          <w:szCs w:val="24"/>
        </w:rPr>
        <w:t>եւ</w:t>
      </w:r>
      <w:r w:rsidRPr="00DE5807">
        <w:rPr>
          <w:rFonts w:ascii="Sylfaen" w:hAnsi="Sylfaen"/>
          <w:spacing w:val="-2"/>
          <w:sz w:val="24"/>
          <w:szCs w:val="24"/>
        </w:rPr>
        <w:t xml:space="preserve"> զարգացման </w:t>
      </w:r>
      <w:r w:rsidR="002D0742" w:rsidRPr="00DE5807">
        <w:rPr>
          <w:rFonts w:ascii="Sylfaen" w:hAnsi="Sylfaen"/>
          <w:sz w:val="24"/>
          <w:szCs w:val="24"/>
        </w:rPr>
        <w:t xml:space="preserve">2017-2018 թվականների </w:t>
      </w:r>
      <w:r w:rsidRPr="00DE5807">
        <w:rPr>
          <w:rFonts w:ascii="Sylfaen" w:hAnsi="Sylfaen"/>
          <w:sz w:val="24"/>
          <w:szCs w:val="24"/>
        </w:rPr>
        <w:t>միջոցառումների պլանի</w:t>
      </w:r>
    </w:p>
    <w:p w:rsidR="00520CF1" w:rsidRPr="00DE5807" w:rsidRDefault="00520CF1" w:rsidP="007E0989">
      <w:pPr>
        <w:spacing w:after="120"/>
        <w:jc w:val="center"/>
      </w:pPr>
    </w:p>
    <w:p w:rsidR="00520CF1" w:rsidRPr="00DE5807" w:rsidRDefault="00480954" w:rsidP="007E0989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E5807">
        <w:rPr>
          <w:rStyle w:val="Bodytext3Spacing2pt"/>
          <w:rFonts w:ascii="Sylfaen" w:hAnsi="Sylfaen"/>
          <w:b/>
          <w:spacing w:val="0"/>
          <w:sz w:val="24"/>
          <w:szCs w:val="24"/>
        </w:rPr>
        <w:t>ԾԱՎԱԼ</w:t>
      </w:r>
    </w:p>
    <w:p w:rsidR="00520CF1" w:rsidRPr="00DE5807" w:rsidRDefault="00480954" w:rsidP="007E0989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E5807">
        <w:rPr>
          <w:rFonts w:ascii="Sylfaen" w:hAnsi="Sylfaen"/>
          <w:sz w:val="24"/>
          <w:szCs w:val="24"/>
        </w:rPr>
        <w:t xml:space="preserve">Եվրասիական տնտեսական միության ինտեգրված տեղեկատվական համակարգի ստեղծման, գործունեության ապահովման </w:t>
      </w:r>
      <w:r w:rsidR="00214C17" w:rsidRPr="00DE5807">
        <w:rPr>
          <w:rFonts w:ascii="Sylfaen" w:hAnsi="Sylfaen"/>
          <w:sz w:val="24"/>
          <w:szCs w:val="24"/>
        </w:rPr>
        <w:t>եւ</w:t>
      </w:r>
      <w:r w:rsidRPr="00DE5807">
        <w:rPr>
          <w:rFonts w:ascii="Sylfaen" w:hAnsi="Sylfaen"/>
          <w:sz w:val="24"/>
          <w:szCs w:val="24"/>
        </w:rPr>
        <w:t xml:space="preserve"> </w:t>
      </w:r>
      <w:r w:rsidR="00DC5500" w:rsidRPr="00DE5807">
        <w:rPr>
          <w:rFonts w:ascii="Sylfaen" w:hAnsi="Sylfaen"/>
          <w:sz w:val="24"/>
          <w:szCs w:val="24"/>
        </w:rPr>
        <w:t>զարգացման 2017-2018</w:t>
      </w:r>
      <w:r w:rsidR="00DA475B" w:rsidRPr="00DE5807">
        <w:rPr>
          <w:rFonts w:ascii="Sylfaen" w:hAnsi="Sylfaen"/>
          <w:sz w:val="24"/>
          <w:szCs w:val="24"/>
        </w:rPr>
        <w:t xml:space="preserve"> թվականների </w:t>
      </w:r>
      <w:r w:rsidRPr="00DE5807">
        <w:rPr>
          <w:rFonts w:ascii="Sylfaen" w:hAnsi="Sylfaen"/>
          <w:sz w:val="24"/>
          <w:szCs w:val="24"/>
        </w:rPr>
        <w:t xml:space="preserve">միջոցառումների պլանով նախատեսված միջոցառումների իրագործման ֆինանսավորման </w:t>
      </w: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0"/>
        <w:gridCol w:w="1573"/>
        <w:gridCol w:w="1570"/>
      </w:tblGrid>
      <w:tr w:rsidR="00520CF1" w:rsidRPr="00DE5807" w:rsidTr="007E0989">
        <w:trPr>
          <w:jc w:val="center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Միջոցառման անվանումը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CF1" w:rsidRPr="00DE5807" w:rsidRDefault="00480954" w:rsidP="007E0989">
            <w:pPr>
              <w:pStyle w:val="Bodytext20"/>
              <w:shd w:val="clear" w:color="auto" w:fill="auto"/>
              <w:spacing w:before="0" w:after="120" w:line="240" w:lineRule="auto"/>
              <w:ind w:right="14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Ֆինանսավորման ծավալը (հազ.</w:t>
            </w:r>
            <w:r w:rsidR="007E0989" w:rsidRPr="00DE5807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ռուբլի)</w:t>
            </w:r>
          </w:p>
        </w:tc>
      </w:tr>
      <w:tr w:rsidR="00520CF1" w:rsidRPr="00DE5807" w:rsidTr="007E0989">
        <w:trPr>
          <w:jc w:val="center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CF1" w:rsidRPr="00DE5807" w:rsidRDefault="00520CF1" w:rsidP="00214C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2018 թվական</w:t>
            </w:r>
          </w:p>
        </w:tc>
      </w:tr>
      <w:tr w:rsidR="00520CF1" w:rsidRPr="00DE5807" w:rsidTr="007E0989">
        <w:trPr>
          <w:jc w:val="center"/>
        </w:trPr>
        <w:tc>
          <w:tcPr>
            <w:tcW w:w="6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0CF1" w:rsidRPr="00DE5807" w:rsidRDefault="007E0989" w:rsidP="007E0989">
            <w:pPr>
              <w:pStyle w:val="Bodytext20"/>
              <w:shd w:val="clear" w:color="auto" w:fill="auto"/>
              <w:tabs>
                <w:tab w:val="left" w:pos="44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Եվրասիական տնտեսական միության ինտեգրված տեղեկատվական համակարգի ընդհանուր համակարգային նախագծում (այսուհետ համապատասխանաբար՝ </w:t>
            </w:r>
            <w:r w:rsidR="00AB63B9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Միություն, 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ինտեգրված համակարգ)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172 500,0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176 900,0</w:t>
            </w:r>
          </w:p>
        </w:tc>
      </w:tr>
      <w:tr w:rsidR="00520CF1" w:rsidRPr="00DE5807" w:rsidTr="007E0989">
        <w:trPr>
          <w:jc w:val="center"/>
        </w:trPr>
        <w:tc>
          <w:tcPr>
            <w:tcW w:w="6250" w:type="dxa"/>
            <w:shd w:val="clear" w:color="auto" w:fill="FFFFFF"/>
          </w:tcPr>
          <w:p w:rsidR="00520CF1" w:rsidRPr="00DE5807" w:rsidRDefault="007E0989" w:rsidP="007E0989">
            <w:pPr>
              <w:pStyle w:val="Bodytext20"/>
              <w:shd w:val="clear" w:color="auto" w:fill="auto"/>
              <w:tabs>
                <w:tab w:val="left" w:pos="44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Ինտեգրված համակարգի՝ Եվրասիական տնտեսական հանձնաժողովի ինտեգրացիոն հատվածի արդիականացում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</w:t>
            </w:r>
          </w:p>
        </w:tc>
        <w:tc>
          <w:tcPr>
            <w:tcW w:w="1573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289 200,0</w:t>
            </w:r>
          </w:p>
        </w:tc>
        <w:tc>
          <w:tcPr>
            <w:tcW w:w="1570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291 800,0</w:t>
            </w:r>
          </w:p>
        </w:tc>
      </w:tr>
      <w:tr w:rsidR="00520CF1" w:rsidRPr="00DE5807" w:rsidTr="007E0989">
        <w:trPr>
          <w:jc w:val="center"/>
        </w:trPr>
        <w:tc>
          <w:tcPr>
            <w:tcW w:w="6250" w:type="dxa"/>
            <w:shd w:val="clear" w:color="auto" w:fill="FFFFFF"/>
            <w:vAlign w:val="bottom"/>
          </w:tcPr>
          <w:p w:rsidR="00520CF1" w:rsidRPr="00DE5807" w:rsidRDefault="007E0989" w:rsidP="007E0989">
            <w:pPr>
              <w:pStyle w:val="Bodytext20"/>
              <w:shd w:val="clear" w:color="auto" w:fill="auto"/>
              <w:tabs>
                <w:tab w:val="left" w:pos="44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3.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Ւնտեգրված համակարգի՝ Միության անդամ պետությունների ազգային հատվածների արդիականացման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զարգացման աշխատանքների համակարգում</w:t>
            </w:r>
          </w:p>
        </w:tc>
        <w:tc>
          <w:tcPr>
            <w:tcW w:w="1573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27 000,0</w:t>
            </w:r>
          </w:p>
        </w:tc>
        <w:tc>
          <w:tcPr>
            <w:tcW w:w="1570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33 600,0</w:t>
            </w:r>
          </w:p>
        </w:tc>
      </w:tr>
      <w:tr w:rsidR="00520CF1" w:rsidRPr="00DE5807" w:rsidTr="007E0989">
        <w:trPr>
          <w:jc w:val="center"/>
        </w:trPr>
        <w:tc>
          <w:tcPr>
            <w:tcW w:w="6250" w:type="dxa"/>
            <w:shd w:val="clear" w:color="auto" w:fill="FFFFFF"/>
            <w:vAlign w:val="bottom"/>
          </w:tcPr>
          <w:p w:rsidR="00520CF1" w:rsidRPr="00DE5807" w:rsidRDefault="007E0989" w:rsidP="007E0989">
            <w:pPr>
              <w:pStyle w:val="Bodytext20"/>
              <w:shd w:val="clear" w:color="auto" w:fill="auto"/>
              <w:tabs>
                <w:tab w:val="left" w:pos="44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4.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Վստահության անդրսահմանային տարածքի ենթակառուցվածքի ստեղծում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զարգացում</w:t>
            </w:r>
          </w:p>
        </w:tc>
        <w:tc>
          <w:tcPr>
            <w:tcW w:w="1573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51 000,0</w:t>
            </w:r>
          </w:p>
        </w:tc>
        <w:tc>
          <w:tcPr>
            <w:tcW w:w="1570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78 300,0</w:t>
            </w:r>
          </w:p>
        </w:tc>
      </w:tr>
      <w:tr w:rsidR="00520CF1" w:rsidRPr="00DE5807" w:rsidTr="007E0989">
        <w:trPr>
          <w:jc w:val="center"/>
        </w:trPr>
        <w:tc>
          <w:tcPr>
            <w:tcW w:w="6250" w:type="dxa"/>
            <w:shd w:val="clear" w:color="auto" w:fill="FFFFFF"/>
            <w:vAlign w:val="center"/>
          </w:tcPr>
          <w:p w:rsidR="00520CF1" w:rsidRPr="00DE5807" w:rsidRDefault="007E0989" w:rsidP="007E0989">
            <w:pPr>
              <w:pStyle w:val="Bodytext20"/>
              <w:shd w:val="clear" w:color="auto" w:fill="auto"/>
              <w:tabs>
                <w:tab w:val="left" w:pos="44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5.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Միության տեղեկությունների գաղտնագրային պաշտպանության մասնագիտացված միջոցների մշակում</w:t>
            </w:r>
          </w:p>
        </w:tc>
        <w:tc>
          <w:tcPr>
            <w:tcW w:w="1573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30 000,0</w:t>
            </w:r>
          </w:p>
        </w:tc>
        <w:tc>
          <w:tcPr>
            <w:tcW w:w="1570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80 000,0</w:t>
            </w:r>
          </w:p>
        </w:tc>
      </w:tr>
      <w:tr w:rsidR="00520CF1" w:rsidRPr="00DE5807" w:rsidTr="007E0989">
        <w:trPr>
          <w:jc w:val="center"/>
        </w:trPr>
        <w:tc>
          <w:tcPr>
            <w:tcW w:w="6250" w:type="dxa"/>
            <w:shd w:val="clear" w:color="auto" w:fill="FFFFFF"/>
            <w:vAlign w:val="center"/>
          </w:tcPr>
          <w:p w:rsidR="00520CF1" w:rsidRPr="00DE5807" w:rsidRDefault="007E0989" w:rsidP="007E0989">
            <w:pPr>
              <w:pStyle w:val="Bodytext20"/>
              <w:shd w:val="clear" w:color="auto" w:fill="auto"/>
              <w:tabs>
                <w:tab w:val="left" w:pos="440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6.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Ինտեգրված համակարգի տեղեկատվական</w:t>
            </w:r>
            <w:r w:rsidR="00480954" w:rsidRPr="00DE5807">
              <w:rPr>
                <w:rFonts w:ascii="Sylfaen" w:hAnsi="Sylfaen"/>
                <w:sz w:val="20"/>
                <w:szCs w:val="20"/>
              </w:rPr>
              <w:softHyphen/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հեռահաղորդակցական </w:t>
            </w:r>
            <w:r w:rsidR="00214C17" w:rsidRPr="00DE5807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 xml:space="preserve"> հաշվողական ենթակառուցվածքի գործունեության աջակցություն</w:t>
            </w:r>
          </w:p>
        </w:tc>
        <w:tc>
          <w:tcPr>
            <w:tcW w:w="1573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201 600,0</w:t>
            </w:r>
          </w:p>
        </w:tc>
        <w:tc>
          <w:tcPr>
            <w:tcW w:w="1570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225 700,0</w:t>
            </w:r>
          </w:p>
        </w:tc>
      </w:tr>
      <w:tr w:rsidR="00520CF1" w:rsidRPr="00DE5807" w:rsidTr="007E0989">
        <w:trPr>
          <w:jc w:val="center"/>
        </w:trPr>
        <w:tc>
          <w:tcPr>
            <w:tcW w:w="6250" w:type="dxa"/>
            <w:shd w:val="clear" w:color="auto" w:fill="FFFFFF"/>
          </w:tcPr>
          <w:p w:rsidR="00520CF1" w:rsidRPr="00DE5807" w:rsidRDefault="007E0989" w:rsidP="007E0989">
            <w:pPr>
              <w:pStyle w:val="Bodytext20"/>
              <w:shd w:val="clear" w:color="auto" w:fill="auto"/>
              <w:tabs>
                <w:tab w:val="left" w:pos="43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7.</w:t>
            </w: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DC5500" w:rsidRPr="00DE5807">
              <w:rPr>
                <w:rStyle w:val="Bodytext212pt"/>
                <w:rFonts w:ascii="Sylfaen" w:hAnsi="Sylfaen"/>
                <w:sz w:val="20"/>
                <w:szCs w:val="20"/>
              </w:rPr>
              <w:t>Օգտվողնե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րի ուսուցում</w:t>
            </w:r>
            <w:r w:rsidR="00E32AAB" w:rsidRPr="00DE5807">
              <w:rPr>
                <w:rStyle w:val="Bodytext212pt"/>
                <w:rFonts w:ascii="Sylfaen" w:hAnsi="Sylfaen"/>
                <w:sz w:val="20"/>
                <w:szCs w:val="20"/>
              </w:rPr>
              <w:t>՝ տ</w:t>
            </w:r>
            <w:r w:rsidR="00480954" w:rsidRPr="00DE5807">
              <w:rPr>
                <w:rStyle w:val="Bodytext212pt"/>
                <w:rFonts w:ascii="Sylfaen" w:hAnsi="Sylfaen"/>
                <w:sz w:val="20"/>
                <w:szCs w:val="20"/>
              </w:rPr>
              <w:t>եղեկատվայնացման միջոցների հետ աշխատանքի մասով</w:t>
            </w:r>
          </w:p>
        </w:tc>
        <w:tc>
          <w:tcPr>
            <w:tcW w:w="1573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10 500,0</w:t>
            </w:r>
          </w:p>
        </w:tc>
        <w:tc>
          <w:tcPr>
            <w:tcW w:w="1570" w:type="dxa"/>
            <w:shd w:val="clear" w:color="auto" w:fill="FFFFFF"/>
          </w:tcPr>
          <w:p w:rsidR="00520CF1" w:rsidRPr="00DE5807" w:rsidRDefault="00480954" w:rsidP="00214C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E5807">
              <w:rPr>
                <w:rStyle w:val="Bodytext212pt"/>
                <w:rFonts w:ascii="Sylfaen" w:hAnsi="Sylfaen"/>
                <w:sz w:val="20"/>
                <w:szCs w:val="20"/>
              </w:rPr>
              <w:t>11 400,0</w:t>
            </w:r>
          </w:p>
        </w:tc>
      </w:tr>
    </w:tbl>
    <w:p w:rsidR="007E0989" w:rsidRPr="00DE5807" w:rsidRDefault="007E0989" w:rsidP="007E0989">
      <w:pPr>
        <w:jc w:val="center"/>
        <w:rPr>
          <w:lang w:val="en-US"/>
        </w:rPr>
      </w:pPr>
    </w:p>
    <w:p w:rsidR="00520CF1" w:rsidRDefault="007E0989" w:rsidP="007E0989">
      <w:pPr>
        <w:spacing w:after="160" w:line="360" w:lineRule="auto"/>
        <w:jc w:val="center"/>
        <w:rPr>
          <w:lang w:val="en-US"/>
        </w:rPr>
      </w:pPr>
      <w:r w:rsidRPr="00DE5807">
        <w:rPr>
          <w:lang w:val="en-US"/>
        </w:rPr>
        <w:t>_________________</w:t>
      </w:r>
    </w:p>
    <w:sectPr w:rsidR="00520CF1" w:rsidSect="00364926">
      <w:pgSz w:w="11900" w:h="16840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E81" w:rsidRDefault="00855E81" w:rsidP="00520CF1">
      <w:r>
        <w:separator/>
      </w:r>
    </w:p>
  </w:endnote>
  <w:endnote w:type="continuationSeparator" w:id="0">
    <w:p w:rsidR="00855E81" w:rsidRDefault="00855E81" w:rsidP="0052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88"/>
      <w:docPartObj>
        <w:docPartGallery w:val="Page Numbers (Bottom of Page)"/>
        <w:docPartUnique/>
      </w:docPartObj>
    </w:sdtPr>
    <w:sdtEndPr/>
    <w:sdtContent>
      <w:p w:rsidR="00364926" w:rsidRPr="00364926" w:rsidRDefault="00CB50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E81" w:rsidRDefault="00855E81">
      <w:r>
        <w:separator/>
      </w:r>
    </w:p>
  </w:footnote>
  <w:footnote w:type="continuationSeparator" w:id="0">
    <w:p w:rsidR="00855E81" w:rsidRDefault="00855E81">
      <w:r>
        <w:continuationSeparator/>
      </w:r>
    </w:p>
  </w:footnote>
  <w:footnote w:id="1">
    <w:p w:rsidR="007E0989" w:rsidRPr="003763BC" w:rsidRDefault="007E0989" w:rsidP="00EE2A36">
      <w:pPr>
        <w:pStyle w:val="FootnoteText"/>
        <w:jc w:val="both"/>
        <w:rPr>
          <w:lang w:val="en-US"/>
        </w:rPr>
      </w:pPr>
      <w:r w:rsidRPr="003763BC">
        <w:rPr>
          <w:rStyle w:val="FootnoteReference"/>
        </w:rPr>
        <w:sym w:font="Symbol" w:char="F02A"/>
      </w:r>
      <w:r>
        <w:t xml:space="preserve"> </w:t>
      </w:r>
      <w:r w:rsidRPr="00214C17">
        <w:t>Միջոցառումների ֆինանսավորումն իրականացվում է Միության բյուջեի միջոցների հաշվին՝ թիվ 4 հավելվածի համաձայն:</w:t>
      </w:r>
    </w:p>
  </w:footnote>
  <w:footnote w:id="2">
    <w:p w:rsidR="007E0989" w:rsidRPr="003763BC" w:rsidRDefault="007E0989" w:rsidP="00EE2A36">
      <w:pPr>
        <w:pStyle w:val="FootnoteText"/>
        <w:jc w:val="both"/>
        <w:rPr>
          <w:lang w:val="en-US"/>
        </w:rPr>
      </w:pPr>
      <w:r w:rsidRPr="003763BC">
        <w:rPr>
          <w:rStyle w:val="FootnoteReference"/>
        </w:rPr>
        <w:sym w:font="Symbol" w:char="F02A"/>
      </w:r>
      <w:r w:rsidRPr="003763BC">
        <w:rPr>
          <w:rStyle w:val="FootnoteReference"/>
        </w:rPr>
        <w:sym w:font="Symbol" w:char="F02A"/>
      </w:r>
      <w:r>
        <w:t xml:space="preserve"> </w:t>
      </w:r>
      <w:r w:rsidRPr="00214C17">
        <w:t>Միջոցառումների ֆինանսավորումն իրականացվում է անդամ պետությունների բյուջեների միջոցների հաշվին:</w:t>
      </w:r>
    </w:p>
  </w:footnote>
  <w:footnote w:id="3">
    <w:p w:rsidR="007E0989" w:rsidRPr="00EE2A36" w:rsidRDefault="007E0989" w:rsidP="00EE2A36">
      <w:pPr>
        <w:pStyle w:val="FootnoteText"/>
        <w:jc w:val="both"/>
        <w:rPr>
          <w:lang w:val="en-US"/>
        </w:rPr>
      </w:pPr>
      <w:r w:rsidRPr="00EE2A36">
        <w:rPr>
          <w:rStyle w:val="FootnoteReference"/>
        </w:rPr>
        <w:sym w:font="Symbol" w:char="F02A"/>
      </w:r>
      <w:r w:rsidRPr="00EE2A36">
        <w:rPr>
          <w:rStyle w:val="FootnoteReference"/>
        </w:rPr>
        <w:sym w:font="Symbol" w:char="F02A"/>
      </w:r>
      <w:r w:rsidRPr="00EE2A36">
        <w:rPr>
          <w:rStyle w:val="FootnoteReference"/>
        </w:rPr>
        <w:sym w:font="Symbol" w:char="F02A"/>
      </w:r>
      <w:r>
        <w:t xml:space="preserve"> </w:t>
      </w:r>
      <w:r w:rsidRPr="00214C17">
        <w:t xml:space="preserve">Միջոցառումների իրականացման կազմը </w:t>
      </w:r>
      <w:r>
        <w:t>եւ</w:t>
      </w:r>
      <w:r w:rsidRPr="00214C17">
        <w:t xml:space="preserve"> ժամկետները սահմանվում են Հանձնաժողովի կողմից հաստատվող տեխնոլոգիական փաստաթղթերի կազմում ընդգրկվող՝ միանալու համապատասխան կարգերով:</w:t>
      </w:r>
    </w:p>
  </w:footnote>
  <w:footnote w:id="4">
    <w:p w:rsidR="007E0989" w:rsidRPr="00EE2A36" w:rsidRDefault="007E0989" w:rsidP="00EE2A36">
      <w:pPr>
        <w:pStyle w:val="FootnoteText"/>
        <w:jc w:val="both"/>
        <w:rPr>
          <w:lang w:val="en-US"/>
        </w:rPr>
      </w:pPr>
      <w:r w:rsidRPr="00EE2A36">
        <w:rPr>
          <w:rStyle w:val="FootnoteReference"/>
        </w:rPr>
        <w:sym w:font="Symbol" w:char="F02A"/>
      </w:r>
      <w:r w:rsidRPr="00EE2A36">
        <w:rPr>
          <w:rStyle w:val="FootnoteReference"/>
        </w:rPr>
        <w:sym w:font="Symbol" w:char="F02A"/>
      </w:r>
      <w:r w:rsidRPr="00EE2A36">
        <w:rPr>
          <w:rStyle w:val="FootnoteReference"/>
        </w:rPr>
        <w:sym w:font="Symbol" w:char="F02A"/>
      </w:r>
      <w:r w:rsidRPr="00EE2A36">
        <w:rPr>
          <w:rStyle w:val="FootnoteReference"/>
        </w:rPr>
        <w:sym w:font="Symbol" w:char="F02A"/>
      </w:r>
      <w:r>
        <w:t xml:space="preserve"> </w:t>
      </w:r>
      <w:r w:rsidRPr="00214C17">
        <w:t>Միջոցառումներն անցկացվում են Եվրասիական տնտեսական բարձրագույն խորհրդի համապատասխան որոշման առկայության դեպքում: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F3F"/>
    <w:multiLevelType w:val="multilevel"/>
    <w:tmpl w:val="500C3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BB19A0"/>
    <w:multiLevelType w:val="multilevel"/>
    <w:tmpl w:val="7FA8C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A4272E"/>
    <w:multiLevelType w:val="multilevel"/>
    <w:tmpl w:val="467EA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F1"/>
    <w:rsid w:val="00004D83"/>
    <w:rsid w:val="000413EC"/>
    <w:rsid w:val="00041955"/>
    <w:rsid w:val="000775D3"/>
    <w:rsid w:val="00096F20"/>
    <w:rsid w:val="000B1387"/>
    <w:rsid w:val="001901AB"/>
    <w:rsid w:val="001926D7"/>
    <w:rsid w:val="001B5E22"/>
    <w:rsid w:val="001D08EB"/>
    <w:rsid w:val="001F6504"/>
    <w:rsid w:val="002002CC"/>
    <w:rsid w:val="00214C17"/>
    <w:rsid w:val="002768D6"/>
    <w:rsid w:val="0028115A"/>
    <w:rsid w:val="00285D20"/>
    <w:rsid w:val="002A1CD5"/>
    <w:rsid w:val="002D0742"/>
    <w:rsid w:val="002E4103"/>
    <w:rsid w:val="003309BE"/>
    <w:rsid w:val="00364926"/>
    <w:rsid w:val="003763BC"/>
    <w:rsid w:val="00387A74"/>
    <w:rsid w:val="003B77E0"/>
    <w:rsid w:val="003F4857"/>
    <w:rsid w:val="00402E2D"/>
    <w:rsid w:val="00441ED6"/>
    <w:rsid w:val="00480954"/>
    <w:rsid w:val="004B71FA"/>
    <w:rsid w:val="004E4936"/>
    <w:rsid w:val="00520CF1"/>
    <w:rsid w:val="00562076"/>
    <w:rsid w:val="005B4016"/>
    <w:rsid w:val="005D011D"/>
    <w:rsid w:val="00614D8E"/>
    <w:rsid w:val="00630B34"/>
    <w:rsid w:val="00677580"/>
    <w:rsid w:val="00697EFF"/>
    <w:rsid w:val="006F3D87"/>
    <w:rsid w:val="00763F4C"/>
    <w:rsid w:val="007715DB"/>
    <w:rsid w:val="00783E5C"/>
    <w:rsid w:val="007D2171"/>
    <w:rsid w:val="007E0989"/>
    <w:rsid w:val="00855E81"/>
    <w:rsid w:val="008A2040"/>
    <w:rsid w:val="008B503B"/>
    <w:rsid w:val="008C2DEF"/>
    <w:rsid w:val="008E2202"/>
    <w:rsid w:val="008E6C2A"/>
    <w:rsid w:val="008F2469"/>
    <w:rsid w:val="0092058D"/>
    <w:rsid w:val="0097525D"/>
    <w:rsid w:val="00977779"/>
    <w:rsid w:val="009842E9"/>
    <w:rsid w:val="009866B4"/>
    <w:rsid w:val="00A12C70"/>
    <w:rsid w:val="00A40066"/>
    <w:rsid w:val="00A82A49"/>
    <w:rsid w:val="00AB63B9"/>
    <w:rsid w:val="00AC6109"/>
    <w:rsid w:val="00AD3DBB"/>
    <w:rsid w:val="00AE19BA"/>
    <w:rsid w:val="00AF1C66"/>
    <w:rsid w:val="00AF1D0D"/>
    <w:rsid w:val="00B02B80"/>
    <w:rsid w:val="00B06664"/>
    <w:rsid w:val="00B45A6E"/>
    <w:rsid w:val="00B87F6D"/>
    <w:rsid w:val="00B94A64"/>
    <w:rsid w:val="00BA0ABA"/>
    <w:rsid w:val="00C2600C"/>
    <w:rsid w:val="00C50A04"/>
    <w:rsid w:val="00CB50BC"/>
    <w:rsid w:val="00CD60F6"/>
    <w:rsid w:val="00D110EA"/>
    <w:rsid w:val="00D45E7E"/>
    <w:rsid w:val="00D5162D"/>
    <w:rsid w:val="00D8465D"/>
    <w:rsid w:val="00DA3BE6"/>
    <w:rsid w:val="00DA475B"/>
    <w:rsid w:val="00DC5500"/>
    <w:rsid w:val="00DD0B90"/>
    <w:rsid w:val="00DE5807"/>
    <w:rsid w:val="00DF0C97"/>
    <w:rsid w:val="00E1677B"/>
    <w:rsid w:val="00E30EEF"/>
    <w:rsid w:val="00E32AAB"/>
    <w:rsid w:val="00E608DC"/>
    <w:rsid w:val="00E84020"/>
    <w:rsid w:val="00EB152C"/>
    <w:rsid w:val="00EB41EC"/>
    <w:rsid w:val="00EB4389"/>
    <w:rsid w:val="00EC3FA7"/>
    <w:rsid w:val="00EE2A36"/>
    <w:rsid w:val="00EF068F"/>
    <w:rsid w:val="00F11AD4"/>
    <w:rsid w:val="00F51C56"/>
    <w:rsid w:val="00F87C24"/>
    <w:rsid w:val="00FA04F6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0CF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0CF1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2pt">
    <w:name w:val="Body text (2) + 12 pt"/>
    <w:basedOn w:val="Bodytext2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aliases w:val="Spacing 1 pt"/>
    <w:basedOn w:val="Bodytext2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ArialBlack">
    <w:name w:val="Body text (2) + Arial Black"/>
    <w:aliases w:val="4 pt"/>
    <w:basedOn w:val="Bodytext2"/>
    <w:rsid w:val="00520CF1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520CF1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520C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20CF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20CF1"/>
    <w:pPr>
      <w:shd w:val="clear" w:color="auto" w:fill="FFFFFF"/>
      <w:spacing w:before="420" w:after="780" w:line="0" w:lineRule="atLeast"/>
      <w:ind w:hanging="4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520CF1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520CF1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5620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ListParagraph">
    <w:name w:val="List Paragraph"/>
    <w:basedOn w:val="Normal"/>
    <w:uiPriority w:val="34"/>
    <w:qFormat/>
    <w:rsid w:val="00E60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5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A6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5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A6E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0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4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4F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4F6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3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3B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3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0CF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0CF1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2pt">
    <w:name w:val="Body text (2) + 12 pt"/>
    <w:basedOn w:val="Bodytext2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aliases w:val="Spacing 1 pt"/>
    <w:basedOn w:val="Bodytext2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520C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ArialBlack">
    <w:name w:val="Body text (2) + Arial Black"/>
    <w:aliases w:val="4 pt"/>
    <w:basedOn w:val="Bodytext2"/>
    <w:rsid w:val="00520CF1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520C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520CF1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520C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20CF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20CF1"/>
    <w:pPr>
      <w:shd w:val="clear" w:color="auto" w:fill="FFFFFF"/>
      <w:spacing w:before="420" w:after="780" w:line="0" w:lineRule="atLeast"/>
      <w:ind w:hanging="4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520CF1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520CF1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520C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5620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ListParagraph">
    <w:name w:val="List Paragraph"/>
    <w:basedOn w:val="Normal"/>
    <w:uiPriority w:val="34"/>
    <w:qFormat/>
    <w:rsid w:val="00E60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5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A6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5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A6E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0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4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4F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4F6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3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3B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388FE-9095-40ED-BCD9-D7AB3445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2984</Words>
  <Characters>17012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2018-08-24T06:47:00Z</dcterms:created>
  <dcterms:modified xsi:type="dcterms:W3CDTF">2018-08-24T06:47:00Z</dcterms:modified>
</cp:coreProperties>
</file>