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47443F">
        <w:rPr>
          <w:rFonts w:ascii="Sylfaen" w:hAnsi="Sylfaen"/>
          <w:sz w:val="24"/>
          <w:szCs w:val="24"/>
        </w:rPr>
        <w:t>Նախագիծ</w:t>
      </w:r>
    </w:p>
    <w:p w:rsidR="00CD0875" w:rsidRPr="0047443F" w:rsidRDefault="00CD0875" w:rsidP="001549BE">
      <w:pPr>
        <w:spacing w:after="160" w:line="360" w:lineRule="auto"/>
        <w:jc w:val="center"/>
      </w:pPr>
    </w:p>
    <w:p w:rsidR="00CD0875" w:rsidRPr="0047443F" w:rsidRDefault="002311F8" w:rsidP="00113DA9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47443F">
        <w:rPr>
          <w:rStyle w:val="Bodytext3Spacing2pt"/>
          <w:rFonts w:ascii="Sylfaen" w:hAnsi="Sylfaen"/>
          <w:b/>
          <w:spacing w:val="0"/>
          <w:sz w:val="24"/>
          <w:szCs w:val="24"/>
        </w:rPr>
        <w:t>ՀԱՄԱՁԱՅՆԱԳԻՐ</w:t>
      </w:r>
    </w:p>
    <w:p w:rsidR="00CD0875" w:rsidRPr="0047443F" w:rsidRDefault="002311F8" w:rsidP="00113DA9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113DA9">
        <w:rPr>
          <w:rFonts w:ascii="Sylfaen" w:hAnsi="Sylfaen"/>
          <w:sz w:val="24"/>
          <w:szCs w:val="24"/>
        </w:rPr>
        <w:br/>
      </w:r>
      <w:r w:rsidRPr="0047443F">
        <w:rPr>
          <w:rFonts w:ascii="Sylfaen" w:hAnsi="Sylfaen"/>
          <w:sz w:val="24"/>
          <w:szCs w:val="24"/>
        </w:rPr>
        <w:t xml:space="preserve">մաքսային տարածքով վտանգավոր թափոնների </w:t>
      </w:r>
      <w:r w:rsidR="00113DA9">
        <w:rPr>
          <w:rFonts w:ascii="Sylfaen" w:hAnsi="Sylfaen"/>
          <w:sz w:val="24"/>
          <w:szCs w:val="24"/>
        </w:rPr>
        <w:br/>
      </w:r>
      <w:r w:rsidRPr="0047443F">
        <w:rPr>
          <w:rFonts w:ascii="Sylfaen" w:hAnsi="Sylfaen"/>
          <w:sz w:val="24"/>
          <w:szCs w:val="24"/>
        </w:rPr>
        <w:t>անդրսահմանային տեղափոխման մասին</w:t>
      </w:r>
    </w:p>
    <w:p w:rsidR="002F561D" w:rsidRPr="0047443F" w:rsidRDefault="002F561D" w:rsidP="0047443F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</w:rPr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Եվրասիական տնտեսական միության անդամ պետությունների կառավարությունները</w:t>
      </w:r>
      <w:r w:rsidR="000B3A8E" w:rsidRPr="0047443F">
        <w:rPr>
          <w:rFonts w:ascii="Sylfaen" w:hAnsi="Sylfaen"/>
          <w:sz w:val="24"/>
          <w:szCs w:val="24"/>
        </w:rPr>
        <w:t>,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հիմնվելով «Եվրասիական տնտեսական միության մասին» 2014 թվականի մայիսի 29</w:t>
      </w:r>
      <w:r w:rsidR="007E7B6E" w:rsidRPr="0047443F">
        <w:rPr>
          <w:rFonts w:ascii="Sylfaen" w:hAnsi="Sylfaen"/>
          <w:sz w:val="24"/>
          <w:szCs w:val="24"/>
        </w:rPr>
        <w:t>-</w:t>
      </w:r>
      <w:r w:rsidRPr="0047443F">
        <w:rPr>
          <w:rFonts w:ascii="Sylfaen" w:hAnsi="Sylfaen"/>
          <w:sz w:val="24"/>
          <w:szCs w:val="24"/>
        </w:rPr>
        <w:t>ի պայմանագրի 29</w:t>
      </w:r>
      <w:r w:rsidR="007E7B6E" w:rsidRPr="0047443F">
        <w:rPr>
          <w:rFonts w:ascii="Sylfaen" w:hAnsi="Sylfaen"/>
          <w:sz w:val="24"/>
          <w:szCs w:val="24"/>
        </w:rPr>
        <w:t>-</w:t>
      </w:r>
      <w:r w:rsidRPr="0047443F">
        <w:rPr>
          <w:rFonts w:ascii="Sylfaen" w:hAnsi="Sylfaen"/>
          <w:sz w:val="24"/>
          <w:szCs w:val="24"/>
        </w:rPr>
        <w:t>րդ հոդվածի վրա,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ձգտելով ստեղծել բարենպաստ պայմաններ Եվրասիական տնտեսական միության (այսուհետ՝ Միություն) արդյունավետ գործունեության համար,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հաստատելով իրենց հավատարմությունը</w:t>
      </w:r>
      <w:r w:rsidR="001549BE">
        <w:rPr>
          <w:rFonts w:ascii="Sylfaen" w:hAnsi="Sylfaen"/>
          <w:sz w:val="24"/>
          <w:szCs w:val="24"/>
        </w:rPr>
        <w:t xml:space="preserve"> </w:t>
      </w:r>
      <w:r w:rsidRPr="0047443F">
        <w:rPr>
          <w:rFonts w:ascii="Sylfaen" w:hAnsi="Sylfaen"/>
          <w:sz w:val="24"/>
          <w:szCs w:val="24"/>
        </w:rPr>
        <w:t xml:space="preserve">«Վտանգավոր թափոնների անդրսահմանային փոխադրման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դրանց հեռացման նկատմամբ հսկողություն սահմանելու մասին» 1989 թվականի մարտի 22</w:t>
      </w:r>
      <w:r w:rsidR="007E7B6E" w:rsidRPr="0047443F">
        <w:rPr>
          <w:rFonts w:ascii="Sylfaen" w:hAnsi="Sylfaen"/>
          <w:sz w:val="24"/>
          <w:szCs w:val="24"/>
        </w:rPr>
        <w:t>-</w:t>
      </w:r>
      <w:r w:rsidRPr="0047443F">
        <w:rPr>
          <w:rFonts w:ascii="Sylfaen" w:hAnsi="Sylfaen"/>
          <w:sz w:val="24"/>
          <w:szCs w:val="24"/>
        </w:rPr>
        <w:t>ի Բազելյան կոնվենցիայով (այսուհետ՝ Բազելյան կոնվենցիա) նախատեսված միջազգային պարտավորությունների կատարման սկզբունքներին, որի մասնակիցն են Միության անդամ պետությունները (այսուհետ՝ անդամ պետություններ),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համաձայնեցին հետ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>յալի մասին.</w:t>
      </w:r>
    </w:p>
    <w:p w:rsidR="002F561D" w:rsidRPr="0047443F" w:rsidRDefault="002F561D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1</w:t>
      </w:r>
    </w:p>
    <w:p w:rsidR="002F561D" w:rsidRPr="0047443F" w:rsidRDefault="002F561D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ամաձայնագրով կարգավորվում են անդամ պետությունների միջ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փոխադարձ առ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տուր իրականացնելիս Միության մաքսային տարածքով այն </w:t>
      </w:r>
      <w:r w:rsidRPr="0047443F">
        <w:rPr>
          <w:rFonts w:ascii="Sylfaen" w:hAnsi="Sylfaen"/>
          <w:sz w:val="24"/>
          <w:szCs w:val="24"/>
        </w:rPr>
        <w:lastRenderedPageBreak/>
        <w:t>վտանգավոր թափոնների անդրսահմանային տեղափոխման հետ կապված հարաբերությունները, որոնք նշված են այն ապրանքների միասնական ցանկի 1.2</w:t>
      </w:r>
      <w:r w:rsidR="004D5CF0">
        <w:rPr>
          <w:rFonts w:ascii="Sylfaen" w:hAnsi="Sylfaen"/>
          <w:sz w:val="24"/>
          <w:szCs w:val="24"/>
        </w:rPr>
        <w:t> 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2.3 բաժիններում, որոնց նկատմամբ կիրառվում են «Երրորդ երկրների նկատմամբ ոչ սակագնային կարգավորման միջոցների մասին» արձանագրությամբ («Եվրասիական տնտեսական միության մասին» 2014</w:t>
      </w:r>
      <w:r w:rsidR="004D5CF0">
        <w:rPr>
          <w:rFonts w:ascii="Sylfaen" w:hAnsi="Sylfaen"/>
          <w:sz w:val="24"/>
          <w:szCs w:val="24"/>
        </w:rPr>
        <w:t> </w:t>
      </w:r>
      <w:r w:rsidRPr="0047443F">
        <w:rPr>
          <w:rFonts w:ascii="Sylfaen" w:hAnsi="Sylfaen"/>
          <w:sz w:val="24"/>
          <w:szCs w:val="24"/>
        </w:rPr>
        <w:t>թվականի մայիսի 29-ի պայմանագրի թիվ 7 հավելված) նախատեսված՝ երրորդ երկրների հետ առ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>տր</w:t>
      </w:r>
      <w:r w:rsidR="00E353C9" w:rsidRPr="0047443F">
        <w:rPr>
          <w:rFonts w:ascii="Sylfaen" w:hAnsi="Sylfaen"/>
          <w:sz w:val="24"/>
          <w:szCs w:val="24"/>
        </w:rPr>
        <w:t xml:space="preserve">ում </w:t>
      </w:r>
      <w:r w:rsidRPr="0047443F">
        <w:rPr>
          <w:rFonts w:ascii="Sylfaen" w:hAnsi="Sylfaen"/>
          <w:sz w:val="24"/>
          <w:szCs w:val="24"/>
        </w:rPr>
        <w:t>ոչ սակագնային կարգավորման միջոցները (այսուհետ՝ թափոններ)։</w:t>
      </w:r>
    </w:p>
    <w:p w:rsidR="00CD0875" w:rsidRPr="0047443F" w:rsidRDefault="00CD0875" w:rsidP="00B813C2">
      <w:pPr>
        <w:spacing w:after="160" w:line="360" w:lineRule="auto"/>
        <w:jc w:val="center"/>
      </w:pP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2</w:t>
      </w:r>
    </w:p>
    <w:p w:rsidR="00CD0875" w:rsidRPr="0047443F" w:rsidRDefault="00CD0875" w:rsidP="00B813C2">
      <w:pPr>
        <w:spacing w:after="160" w:line="360" w:lineRule="auto"/>
        <w:jc w:val="center"/>
      </w:pP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նպատակներով գործածվող հասկացություններն ունեն հետ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>յալ իմաստը.</w:t>
      </w: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«պետական մարմիններ»՝ անդամ պետությունների այն մարմինները, որոնք թափոնների անդրսահմանային տեղափոխման ժամանակ իրականացնում են 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 xml:space="preserve">ամաձայնագրով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անդամ պետությունների օրենսդրությամբ սահմանված պահանջների խախտումների կանխարգելման, հայտնաբերման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կանխման գործառույթներ,</w:t>
      </w: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«եզրակացություն (թույլատրագիր)»՝ թափոնների անդրսահմանային տեղափոխման իրավունքը հաստատող փաստաթուղթ,</w:t>
      </w: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«դիմումատու»՝ թափոնների անդրսահմանային տեղափոխման եզրակացություն (թույլատրագիր) ստանալու համար իրավասու մարմին դիմում ներկայացրած իրավաբանական անձ կամ որպես անհատ ձեռնարկատեր գրանցված ֆիզիկական անձ,</w:t>
      </w: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«իրավասու մարմին»՝ եզրակացություններ (թույլատրագրեր) տրամադրելու համար լիազորված՝ անդամ պետության մարմին,</w:t>
      </w: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lastRenderedPageBreak/>
        <w:t xml:space="preserve">«թափոնների անդրսահմանային տեղափոխում»՝ Միության ապրանք հանդիսացող թափոնների արտահանում մեկ անդամ պետության տարածքից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դրանց ներմուծում մեկ այլ անդամ պետության տարածք, այդ թվում՝ երրորդ անդամ պետության տարածքով (ներքին տարանցում), ինչպես նա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թափոնների արտահանում մեկ անդամ պետության տարածքից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դրանց ներմուծում նույն անդամ պետության տարածք մեկ այլ անդամ պետության տարածքով։</w:t>
      </w:r>
    </w:p>
    <w:p w:rsidR="00CD0875" w:rsidRPr="0047443F" w:rsidRDefault="002311F8" w:rsidP="00B813C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 xml:space="preserve">ամաձայնագրում օգտագործվող </w:t>
      </w:r>
      <w:r w:rsidR="000B3A8E" w:rsidRPr="0047443F">
        <w:rPr>
          <w:rFonts w:ascii="Sylfaen" w:hAnsi="Sylfaen"/>
          <w:sz w:val="24"/>
          <w:szCs w:val="24"/>
        </w:rPr>
        <w:t>մյուս</w:t>
      </w:r>
      <w:r w:rsidRPr="0047443F">
        <w:rPr>
          <w:rFonts w:ascii="Sylfaen" w:hAnsi="Sylfaen"/>
          <w:sz w:val="24"/>
          <w:szCs w:val="24"/>
        </w:rPr>
        <w:t xml:space="preserve"> հասկացությունները կիրառվում են Բազելյան կոնվենցիային, «Եվրասիական տնտեսական միության մասին» 2014 թվականի մայիսի 29-ի պայմանագրին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Միության շրջանակներում կնքված միջազգային պայմանագրերին համապատասխան:</w:t>
      </w:r>
    </w:p>
    <w:p w:rsidR="00CD0875" w:rsidRPr="0047443F" w:rsidRDefault="00CD0875" w:rsidP="00B813C2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3</w:t>
      </w:r>
    </w:p>
    <w:p w:rsidR="00CD0875" w:rsidRPr="0047443F" w:rsidRDefault="00CD0875" w:rsidP="00B813C2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գործողությունը տարածվում է անդամ պետությունների միջ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փոխադարձ առ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>տուր իրականացնելիս թափոնների անդրսահմանային տեղափոխում իրականացնող իրավաբանական անձանց կամ որպես անհատ ձեռնարկատեր գրանցված ֆիզիկական անձանց վրա։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Թափոնների անդրսահմանային տեղափոխումը ֆիզիկական անձանց կողմից անձնական օգտագործման համար արգելվում է։</w:t>
      </w:r>
    </w:p>
    <w:p w:rsidR="00CD0875" w:rsidRPr="0047443F" w:rsidRDefault="00CD0875" w:rsidP="00B813C2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4</w:t>
      </w:r>
    </w:p>
    <w:p w:rsidR="00CD0875" w:rsidRPr="0047443F" w:rsidRDefault="00CD0875" w:rsidP="00B813C2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Միության անդամ պետություն չհանդիսացող պետության տարածքով մեկ անդամ պետության տարածքից թափոնների անդրսահմանային տեղափոխումը մեկ այլ անդամ պետության տարածք իրականացվում է Բազելյան կոնվենցիայի դրույթներին համապատասխան։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lastRenderedPageBreak/>
        <w:t>Հոդված 5</w:t>
      </w:r>
    </w:p>
    <w:p w:rsidR="00CD0875" w:rsidRPr="0047443F" w:rsidRDefault="00CD0875" w:rsidP="00846C5F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Անդամ պետություններում իրականացվում են հսկողություն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վերահսկողություն թափոնների անդրսահմանային տեղափոխման նկատմամբ՝ անդամ պետությունների օրենսդրությանը համապատասխան։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Անդամ պետություններում չի թույլատրվում թափոնների անդրսահմանային տեղափոխումը</w:t>
      </w:r>
      <w:r w:rsidR="000B3A8E" w:rsidRPr="0047443F">
        <w:rPr>
          <w:rFonts w:ascii="Sylfaen" w:hAnsi="Sylfaen"/>
          <w:sz w:val="24"/>
          <w:szCs w:val="24"/>
        </w:rPr>
        <w:t>՝</w:t>
      </w:r>
      <w:r w:rsidRPr="0047443F">
        <w:rPr>
          <w:rFonts w:ascii="Sylfaen" w:hAnsi="Sylfaen"/>
          <w:sz w:val="24"/>
          <w:szCs w:val="24"/>
        </w:rPr>
        <w:t xml:space="preserve"> դրանց թաղման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(կամ) վնասազերծման նպատակով։</w:t>
      </w:r>
    </w:p>
    <w:p w:rsidR="00CD0875" w:rsidRPr="0047443F" w:rsidRDefault="00CD0875" w:rsidP="00846C5F">
      <w:pPr>
        <w:spacing w:after="160" w:line="360" w:lineRule="auto"/>
        <w:jc w:val="center"/>
      </w:pPr>
    </w:p>
    <w:p w:rsidR="00CD0875" w:rsidRPr="0047443F" w:rsidRDefault="002311F8" w:rsidP="00846C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6</w:t>
      </w:r>
    </w:p>
    <w:p w:rsidR="00CD0875" w:rsidRPr="0047443F" w:rsidRDefault="00CD0875" w:rsidP="00846C5F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Թափոնների անդրսահմանային տեղափոխումն իրականացվում է եզրակացության (թույլատրագրի) հիման վրա, որն իրավասու մարմնի կողմից տրվում է Եվրասիական տնտեսական հանձնաժողովի կողմից հաստատվող միասնական ձ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>ով: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Եզրակացությունը (թույլատրագիրը) դիմումատուին տրվում է անդամ պետությունների օրենսդրությամբ սահմանված կարգով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ժամկետներում: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Թափոնների արտահանման եզրակացությունը (թույլատրագիրը) տրվում է այն անդամ պետության իրավասու մարմնի կողմից, որի տարածքից նախատեսվում է դրանք արտահանել, այդ թափոնների ներմուծման այն եզրակացության (թույլատրագրի) առկայության դեպքում, որը տրվել է այն անդամ պետության իրավասու մարմնի կողմից, որի տարածք նախատեսվում է դրանք ներմուծել: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Թափոնների արտահանման եզրակացության (թույլատրագրի) տրամադրումը ներքին տարանցման դեպքում իրականացվում է սույն հոդվածի երրորդ պարբերության մեջ նշված՝ դրանց ներմուծման եզրակացության (թույլատրագրի)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այն անդամ պետության իրավասու մարմնի կողմից տրված </w:t>
      </w:r>
      <w:r w:rsidRPr="0047443F">
        <w:rPr>
          <w:rFonts w:ascii="Sylfaen" w:hAnsi="Sylfaen"/>
          <w:sz w:val="24"/>
          <w:szCs w:val="24"/>
        </w:rPr>
        <w:lastRenderedPageBreak/>
        <w:t>ներքին տարանցման եզրակացության (թույլատրագրի) առկայության դեպքում, որի տարածքով նախատեսվում է թափոնների անդրսահմանային տեղափոխումը։</w:t>
      </w:r>
    </w:p>
    <w:p w:rsidR="00CD0875" w:rsidRPr="0047443F" w:rsidRDefault="002311F8" w:rsidP="000427C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Եզրակացության (թույլատրագրի) տրամադրումը մեկ անդամ պետության տարածքից նույն անդամ պետության տարածք մեկ այլ անդամ պետության տարածքով թափոնների անդրսահմանային տեղափոխման ժամանակ իրականացվում է այն անդամ պետության իրավասու մարմնի կողմից, որի տարածքով տեղափոխվում են թափոնները, այն անդամ պետության իրավասու մարմնից Բազելյան կոնվենցիային համապատասխան ծանուցումը ստանալուց հետո, որի տարածքից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որի տարածք նախատեսվում է թափոնների անդրսահմանային տեղափոխումը։</w:t>
      </w:r>
    </w:p>
    <w:p w:rsidR="00CD0875" w:rsidRPr="0047443F" w:rsidRDefault="002311F8" w:rsidP="000427C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Եզրակացությունների (թույլատրագրերի) պատճենները կցվում են ապրանքաուղեկից փաստաթղթերի լրակազմին:</w:t>
      </w:r>
    </w:p>
    <w:p w:rsidR="00CD0875" w:rsidRPr="0047443F" w:rsidRDefault="00CD0875" w:rsidP="000427C5">
      <w:pPr>
        <w:spacing w:after="160" w:line="348" w:lineRule="auto"/>
        <w:jc w:val="center"/>
      </w:pPr>
    </w:p>
    <w:p w:rsidR="00CD0875" w:rsidRPr="0047443F" w:rsidRDefault="002311F8" w:rsidP="000427C5">
      <w:pPr>
        <w:pStyle w:val="Bodytext20"/>
        <w:shd w:val="clear" w:color="auto" w:fill="auto"/>
        <w:spacing w:before="0" w:after="160" w:line="348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7</w:t>
      </w:r>
    </w:p>
    <w:p w:rsidR="00CD0875" w:rsidRPr="0047443F" w:rsidRDefault="00CD0875" w:rsidP="000427C5">
      <w:pPr>
        <w:spacing w:after="160" w:line="348" w:lineRule="auto"/>
        <w:jc w:val="center"/>
      </w:pPr>
    </w:p>
    <w:p w:rsidR="00CD0875" w:rsidRPr="0047443F" w:rsidRDefault="002311F8" w:rsidP="000427C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Այն անդամ պետության պետական մարմինները, որի տարածք իրականացվել է թափոնների ներմուծումը</w:t>
      </w:r>
      <w:r w:rsidR="00F70032" w:rsidRPr="0047443F">
        <w:rPr>
          <w:rFonts w:ascii="Sylfaen" w:hAnsi="Sylfaen"/>
          <w:sz w:val="24"/>
          <w:szCs w:val="24"/>
        </w:rPr>
        <w:t>,</w:t>
      </w:r>
      <w:r w:rsidRPr="0047443F">
        <w:rPr>
          <w:rFonts w:ascii="Sylfaen" w:hAnsi="Sylfaen"/>
          <w:sz w:val="24"/>
          <w:szCs w:val="24"/>
        </w:rPr>
        <w:t xml:space="preserve">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(կամ) այն անդամ պետության պետական մարմինները, որի տարածքով իրականացվել է թափոնների անդրսահմանային տեղափոխումը, առանց եզրակացությունների (թույլատրագրերի) թափոնների անդրսահմանային տեղափոխման փաստերի հայտնաբերման դեպքում, ինչպես նա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եզրակացություններում (թույլատրագրերում) նշված տեղեկությունների՝ թափոնների անդրսահմանային տեղափոխման նկատմամբ հսկողության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վերահսկողության իրականացման ընթացքում ստացված տեղեկություններին անհամապատասխանության դեպքում այդ փաստերի հայտնաբերման օրվանից 3 աշխատանքային օրվա ընթացքում իրենց պետության իրավասու մարմնի միջոցով </w:t>
      </w:r>
      <w:r w:rsidR="00E01A8A" w:rsidRPr="0047443F">
        <w:rPr>
          <w:rFonts w:ascii="Sylfaen" w:hAnsi="Sylfaen"/>
          <w:sz w:val="24"/>
          <w:szCs w:val="24"/>
        </w:rPr>
        <w:t>այդ</w:t>
      </w:r>
      <w:r w:rsidRPr="0047443F">
        <w:rPr>
          <w:rFonts w:ascii="Sylfaen" w:hAnsi="Sylfaen"/>
          <w:sz w:val="24"/>
          <w:szCs w:val="24"/>
        </w:rPr>
        <w:t xml:space="preserve"> մասին տեղեկացնում են այն անդամ պետության իրավասու մարմնին, որի տարածքից իրականացվել է թափոնների արտահանումը։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lastRenderedPageBreak/>
        <w:t>Հոդված 8</w:t>
      </w:r>
    </w:p>
    <w:p w:rsidR="00CD0875" w:rsidRPr="0047443F" w:rsidRDefault="00CD0875" w:rsidP="000427C5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Այն անդամ պետության իրավասու մարմինը, որի տարածքից իրականացվել</w:t>
      </w:r>
      <w:r w:rsidR="000427C5">
        <w:rPr>
          <w:rFonts w:ascii="Sylfaen" w:hAnsi="Sylfaen"/>
          <w:sz w:val="24"/>
          <w:szCs w:val="24"/>
        </w:rPr>
        <w:t> </w:t>
      </w:r>
      <w:r w:rsidRPr="0047443F">
        <w:rPr>
          <w:rFonts w:ascii="Sylfaen" w:hAnsi="Sylfaen"/>
          <w:sz w:val="24"/>
          <w:szCs w:val="24"/>
        </w:rPr>
        <w:t xml:space="preserve">է թափոնների արտահանումը, 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7–րդ հոդվածով նախատեսված տեղեկատվությունը ստանալիս՝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առանց եզրակացության (թույլատրագրի) թափոնների անդրսահմանային տեղափոխման դեպքում</w:t>
      </w:r>
      <w:r w:rsidR="00F70032" w:rsidRPr="0047443F">
        <w:rPr>
          <w:rFonts w:ascii="Sylfaen" w:hAnsi="Sylfaen"/>
          <w:sz w:val="24"/>
          <w:szCs w:val="24"/>
        </w:rPr>
        <w:t xml:space="preserve"> </w:t>
      </w:r>
      <w:r w:rsidRPr="0047443F">
        <w:rPr>
          <w:rFonts w:ascii="Sylfaen" w:hAnsi="Sylfaen"/>
          <w:sz w:val="24"/>
          <w:szCs w:val="24"/>
        </w:rPr>
        <w:t>միջոցներ է ձեռնարկում Բազելյան կոնվենցիայի նորմերին համապատասխան թափոնները վերադարձնելու կամ դրանք էկոլոգիապես հիմնավորված եղանակով հեռացնելու ուղղությամբ.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թափոնների անդրսահմանային տեղափոխման նկատմամբ հսկողություն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վերահսկողություն իրականացնելու ժամանակ ստացված տեղեկություններին եզրակացության (թույլատրագրի) մեջ նշված տեղեկությունների անհամապատասխանության դեպքում՝</w:t>
      </w:r>
    </w:p>
    <w:p w:rsidR="008E6A52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որոշում է ընդունում եզրակացության (թույլատրագրի) գործողության դադարեցման մասին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այդ որոշումն ընդունելու օրվանից 3 աշխատանքային օրվա ընթացքում տեղեկացնում է </w:t>
      </w:r>
      <w:r w:rsidR="00E01A8A" w:rsidRPr="0047443F">
        <w:rPr>
          <w:rFonts w:ascii="Sylfaen" w:hAnsi="Sylfaen"/>
          <w:sz w:val="24"/>
          <w:szCs w:val="24"/>
        </w:rPr>
        <w:t>այդ</w:t>
      </w:r>
      <w:r w:rsidRPr="0047443F">
        <w:rPr>
          <w:rFonts w:ascii="Sylfaen" w:hAnsi="Sylfaen"/>
          <w:sz w:val="24"/>
          <w:szCs w:val="24"/>
        </w:rPr>
        <w:t xml:space="preserve"> մասին այն դիմումատուին, որին տրվել է եզրակացությունը (թույլատրագիրը), այն անդամ պետության իրավասու մարմնին, որի տարածք իրականացվել է (նախատեսվել է) թափոնների ներմուծումը,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այն անդամ պետության իրավասու մարմնին, որի տարածքով իրականացվել է թափոնների անդրսահմանային տեղափոխումը (ինչը հիմք է նշված իրավասու մարմինների կողմից դիմումատուին տրված եզրակացությունները (թույլատրագրերը) չեղարկելու համար).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միջոցներ է ձեռնարկում Բազելյան կոնվենցիայի նորմերին համապատասխան թափոնները վերադարձնելու կամ դրանք էկոլոգիապես հիմնավորված եղանակով հեռացնելու ուղղությամբ։</w:t>
      </w:r>
    </w:p>
    <w:p w:rsidR="00CD0875" w:rsidRDefault="00CD0875" w:rsidP="000427C5">
      <w:pPr>
        <w:spacing w:after="160" w:line="360" w:lineRule="auto"/>
        <w:jc w:val="center"/>
      </w:pPr>
    </w:p>
    <w:p w:rsidR="000427C5" w:rsidRPr="0047443F" w:rsidRDefault="000427C5" w:rsidP="000427C5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lastRenderedPageBreak/>
        <w:t>Հոդված 9</w:t>
      </w:r>
    </w:p>
    <w:p w:rsidR="00CD0875" w:rsidRPr="0047443F" w:rsidRDefault="00CD0875" w:rsidP="000427C5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Թափոնների անդրսահմանային տեղափոխման կարգին ներկայացվող՝ 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ամաձայնագրում չնշված պահանջները, ինչպես նա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փոխադրողին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վթարային իրավիճակների կանխարգելման ու վերացման, մարդու առողջությանը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շրջակա միջավայրին հասցված վնասի փոխհատուցման նպատակով միջոցառումների իրականացման կարգին ներկայացվող պահանջները սահմանվում են անդամ պետությունների օրենսդրությամբ։</w:t>
      </w:r>
    </w:p>
    <w:p w:rsidR="00CD0875" w:rsidRPr="0047443F" w:rsidRDefault="00CD0875" w:rsidP="000427C5">
      <w:pPr>
        <w:spacing w:after="160" w:line="360" w:lineRule="auto"/>
        <w:jc w:val="center"/>
      </w:pPr>
    </w:p>
    <w:p w:rsidR="00CD0875" w:rsidRPr="0047443F" w:rsidRDefault="002311F8" w:rsidP="000427C5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10</w:t>
      </w:r>
    </w:p>
    <w:p w:rsidR="00CD0875" w:rsidRPr="0047443F" w:rsidRDefault="00CD0875" w:rsidP="000427C5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 xml:space="preserve">ամաձայնագրով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անդամ պետությունների օրենսդրությամբ սահմանված՝ թափոնների անդրսահմանային տեղափոխմանը ներկայացվող պահանջները չկատարելը կամ ոչ պատշաճ կատարելը հանգեցնում է պատասխանատվության՝ անդամ պետությունների օրենսդրությանը համապատասխան:</w:t>
      </w:r>
    </w:p>
    <w:p w:rsidR="00CD0875" w:rsidRPr="0047443F" w:rsidRDefault="00CD0875" w:rsidP="000427C5">
      <w:pPr>
        <w:spacing w:after="160" w:line="360" w:lineRule="auto"/>
        <w:jc w:val="center"/>
      </w:pPr>
    </w:p>
    <w:p w:rsidR="00CD0875" w:rsidRPr="0047443F" w:rsidRDefault="002311F8" w:rsidP="000427C5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11</w:t>
      </w:r>
    </w:p>
    <w:p w:rsidR="00CD0875" w:rsidRPr="0047443F" w:rsidRDefault="00CD0875" w:rsidP="000427C5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Այն անդամ պետության իրավասու մարմինը, որի տարածքից իրականացվել է թափոնների արտահանումը, յուրաքանչյուր տարի՝ մինչ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հաշվետու տարվան հաջորդող տարվա հունվարի 20-ը, 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հավելվածի համաձայն սահմանված ձ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>ով (էլեկտրոնային փոստով) համապատասխան ժամանակաշրջանում տրված՝ թափոնների արտահանման եզրակացությունների (թույլատրագրերի) վերաբերյալ հաշվետվություն է ուղարկում այն անդամ պետության իրավասու մարմին, որի տարածք ներմուծվել են թափոնները։</w:t>
      </w: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lastRenderedPageBreak/>
        <w:t>Հոդված 12</w:t>
      </w:r>
    </w:p>
    <w:p w:rsidR="00CD0875" w:rsidRPr="0047443F" w:rsidRDefault="00CD0875" w:rsidP="00F47B3E">
      <w:pPr>
        <w:spacing w:after="160" w:line="341" w:lineRule="auto"/>
        <w:jc w:val="center"/>
      </w:pP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Անդամ պետությունների կառավարությունները միմյանց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Եվրասիական տնտեսական հանձնաժողովին տեղեկացնում են իրենց պետությունների իրավասու մարմինների մասին:</w:t>
      </w: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Իրավասու մարմինների փոփոխման դեպքում անդամ պետությունների կառավարությունները 30 օրացուցային օրվա ընթացքում դիվանագիտական ուղիներով </w:t>
      </w:r>
      <w:r w:rsidR="00E01A8A" w:rsidRPr="0047443F">
        <w:rPr>
          <w:rFonts w:ascii="Sylfaen" w:hAnsi="Sylfaen"/>
          <w:sz w:val="24"/>
          <w:szCs w:val="24"/>
        </w:rPr>
        <w:t>այդ</w:t>
      </w:r>
      <w:r w:rsidRPr="0047443F">
        <w:rPr>
          <w:rFonts w:ascii="Sylfaen" w:hAnsi="Sylfaen"/>
          <w:sz w:val="24"/>
          <w:szCs w:val="24"/>
        </w:rPr>
        <w:t xml:space="preserve"> մասին ծանուցում են միմյանց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Եվրասիական տնտեսական հանձնաժողովին:</w:t>
      </w:r>
    </w:p>
    <w:p w:rsidR="00CD0875" w:rsidRPr="0047443F" w:rsidRDefault="00CD0875" w:rsidP="00F47B3E">
      <w:pPr>
        <w:spacing w:after="160" w:line="341" w:lineRule="auto"/>
        <w:jc w:val="center"/>
      </w:pP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13</w:t>
      </w:r>
    </w:p>
    <w:p w:rsidR="00CD0875" w:rsidRPr="0047443F" w:rsidRDefault="00CD0875" w:rsidP="00F47B3E">
      <w:pPr>
        <w:spacing w:after="160" w:line="341" w:lineRule="auto"/>
        <w:jc w:val="center"/>
      </w:pP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կիրառման հետ կապված վեճերը կարգավորվում են «Եվրասիական տնտեսական միության մասին» 2014 թվականի մայիսի 29-ի պայմանագրով սահմանված կարգով:</w:t>
      </w:r>
    </w:p>
    <w:p w:rsidR="00CD0875" w:rsidRPr="0047443F" w:rsidRDefault="00CD0875" w:rsidP="00F47B3E">
      <w:pPr>
        <w:spacing w:after="160" w:line="341" w:lineRule="auto"/>
        <w:jc w:val="center"/>
      </w:pP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14</w:t>
      </w:r>
    </w:p>
    <w:p w:rsidR="00CD0875" w:rsidRPr="0047443F" w:rsidRDefault="00CD0875" w:rsidP="00F47B3E">
      <w:pPr>
        <w:spacing w:after="160" w:line="341" w:lineRule="auto"/>
        <w:jc w:val="center"/>
      </w:pP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 xml:space="preserve">ամաձայնագիրը Միության շրջանակներում կնքված միջազգային պայմանագիր է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Միության իրավունքի մասն է կազմում։</w:t>
      </w:r>
    </w:p>
    <w:p w:rsidR="002258EE" w:rsidRPr="0047443F" w:rsidRDefault="002258EE" w:rsidP="00F47B3E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/>
          <w:sz w:val="24"/>
          <w:szCs w:val="24"/>
        </w:rPr>
      </w:pP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Հոդված 15</w:t>
      </w:r>
    </w:p>
    <w:p w:rsidR="00CD0875" w:rsidRPr="0047443F" w:rsidRDefault="00CD0875" w:rsidP="00F47B3E">
      <w:pPr>
        <w:spacing w:after="160" w:line="341" w:lineRule="auto"/>
        <w:jc w:val="center"/>
      </w:pPr>
    </w:p>
    <w:p w:rsidR="00CD0875" w:rsidRPr="0047443F" w:rsidRDefault="002311F8" w:rsidP="00F47B3E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ամաձայնագրում կարող են կատարվել փոփոխություններ, որոնք ձ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ակերպվում են առանձին արձանագրություններով </w:t>
      </w:r>
      <w:r w:rsidR="001549BE">
        <w:rPr>
          <w:rFonts w:ascii="Sylfaen" w:hAnsi="Sylfaen"/>
          <w:sz w:val="24"/>
          <w:szCs w:val="24"/>
        </w:rPr>
        <w:t>եւ</w:t>
      </w:r>
      <w:r w:rsidRPr="0047443F">
        <w:rPr>
          <w:rFonts w:ascii="Sylfaen" w:hAnsi="Sylfaen"/>
          <w:sz w:val="24"/>
          <w:szCs w:val="24"/>
        </w:rPr>
        <w:t xml:space="preserve"> ուժի մեջ են մտնում 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16-րդ հոդվածով սահմանված կարգով։</w:t>
      </w:r>
    </w:p>
    <w:p w:rsidR="00CD0875" w:rsidRPr="0047443F" w:rsidRDefault="002311F8" w:rsidP="00F47B3E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lastRenderedPageBreak/>
        <w:t>Հոդված 16</w:t>
      </w:r>
    </w:p>
    <w:p w:rsidR="00CD0875" w:rsidRPr="0047443F" w:rsidRDefault="00CD0875" w:rsidP="00F47B3E">
      <w:pPr>
        <w:spacing w:after="160" w:line="360" w:lineRule="auto"/>
        <w:jc w:val="center"/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 xml:space="preserve">ամաձայնագիրն ուժի մեջ է մտնում 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10 օրացուցային օրը լրանալուց հետո։</w:t>
      </w:r>
    </w:p>
    <w:p w:rsidR="002258EE" w:rsidRPr="0047443F" w:rsidRDefault="002258EE" w:rsidP="0073772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CD0875" w:rsidRPr="0047443F" w:rsidRDefault="00737726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Կատարված է ________</w:t>
      </w:r>
      <w:r w:rsidR="002311F8" w:rsidRPr="0047443F">
        <w:rPr>
          <w:rFonts w:ascii="Sylfaen" w:hAnsi="Sylfaen"/>
          <w:sz w:val="24"/>
          <w:szCs w:val="24"/>
        </w:rPr>
        <w:t>__</w:t>
      </w:r>
      <w:r>
        <w:rPr>
          <w:rFonts w:ascii="Sylfaen" w:hAnsi="Sylfaen"/>
          <w:sz w:val="24"/>
          <w:szCs w:val="24"/>
        </w:rPr>
        <w:t>_ քաղաքում 20___ թվականի ______</w:t>
      </w:r>
      <w:r w:rsidR="002311F8" w:rsidRPr="0047443F">
        <w:rPr>
          <w:rFonts w:ascii="Sylfaen" w:hAnsi="Sylfaen"/>
          <w:sz w:val="24"/>
          <w:szCs w:val="24"/>
        </w:rPr>
        <w:t>_____ «___»-ին</w:t>
      </w:r>
      <w:r w:rsidR="007A2794" w:rsidRPr="0047443F">
        <w:rPr>
          <w:rFonts w:ascii="Sylfaen" w:hAnsi="Sylfaen"/>
          <w:sz w:val="24"/>
          <w:szCs w:val="24"/>
        </w:rPr>
        <w:t>,</w:t>
      </w:r>
      <w:r w:rsidR="002311F8" w:rsidRPr="0047443F">
        <w:rPr>
          <w:rFonts w:ascii="Sylfaen" w:hAnsi="Sylfaen"/>
          <w:sz w:val="24"/>
          <w:szCs w:val="24"/>
        </w:rPr>
        <w:t xml:space="preserve"> մեկ բնօրինակից՝ ռուսերենով։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 xml:space="preserve">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բնօրինակը պահվում է Եվրասիական տնտեսական հանձնաժողովում, որը</w:t>
      </w:r>
      <w:r w:rsidR="007A2794" w:rsidRPr="0047443F">
        <w:rPr>
          <w:rFonts w:ascii="Sylfaen" w:hAnsi="Sylfaen"/>
          <w:sz w:val="24"/>
          <w:szCs w:val="24"/>
        </w:rPr>
        <w:t>՝</w:t>
      </w:r>
      <w:r w:rsidRPr="0047443F">
        <w:rPr>
          <w:rFonts w:ascii="Sylfaen" w:hAnsi="Sylfaen"/>
          <w:sz w:val="24"/>
          <w:szCs w:val="24"/>
        </w:rPr>
        <w:t xml:space="preserve"> որպես սույն </w:t>
      </w:r>
      <w:r w:rsidR="00FB78FA" w:rsidRPr="0047443F">
        <w:rPr>
          <w:rFonts w:ascii="Sylfaen" w:hAnsi="Sylfaen"/>
          <w:sz w:val="24"/>
          <w:szCs w:val="24"/>
        </w:rPr>
        <w:t>հ</w:t>
      </w:r>
      <w:r w:rsidRPr="0047443F">
        <w:rPr>
          <w:rFonts w:ascii="Sylfaen" w:hAnsi="Sylfaen"/>
          <w:sz w:val="24"/>
          <w:szCs w:val="24"/>
        </w:rPr>
        <w:t>ամաձայնագրի ավանդապահ, յուրաքանչյուր անդամ պետության կուղարկի դրա հաստատված պատճենը։</w:t>
      </w:r>
    </w:p>
    <w:p w:rsidR="002258EE" w:rsidRPr="0047443F" w:rsidRDefault="002258EE" w:rsidP="00737726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11121" w:type="dxa"/>
        <w:jc w:val="center"/>
        <w:tblInd w:w="-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2499"/>
        <w:gridCol w:w="2084"/>
        <w:gridCol w:w="2192"/>
        <w:gridCol w:w="2041"/>
      </w:tblGrid>
      <w:tr w:rsidR="00CD0875" w:rsidRPr="00737726" w:rsidTr="00737726">
        <w:trPr>
          <w:jc w:val="center"/>
        </w:trPr>
        <w:tc>
          <w:tcPr>
            <w:tcW w:w="2305" w:type="dxa"/>
            <w:shd w:val="clear" w:color="auto" w:fill="FFFFFF"/>
            <w:vAlign w:val="center"/>
          </w:tcPr>
          <w:p w:rsidR="00CD0875" w:rsidRPr="00737726" w:rsidRDefault="002311F8" w:rsidP="0073772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37726">
              <w:rPr>
                <w:rStyle w:val="Bodytext213pt"/>
                <w:rFonts w:ascii="Sylfaen" w:hAnsi="Sylfaen"/>
                <w:sz w:val="22"/>
                <w:szCs w:val="22"/>
              </w:rPr>
              <w:t>Հայաստանի Հանրապետության կառավարության կողմից</w:t>
            </w:r>
            <w:r w:rsidR="008732B7" w:rsidRPr="00737726">
              <w:rPr>
                <w:rStyle w:val="Bodytext213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499" w:type="dxa"/>
            <w:shd w:val="clear" w:color="auto" w:fill="FFFFFF"/>
            <w:vAlign w:val="center"/>
          </w:tcPr>
          <w:p w:rsidR="00CD0875" w:rsidRPr="00737726" w:rsidRDefault="002311F8" w:rsidP="0073772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37726">
              <w:rPr>
                <w:rStyle w:val="Bodytext213pt"/>
                <w:rFonts w:ascii="Sylfaen" w:hAnsi="Sylfaen"/>
                <w:sz w:val="22"/>
                <w:szCs w:val="22"/>
              </w:rPr>
              <w:t>Բելառուսի Հանրապետության կառավարության կողմից</w:t>
            </w:r>
            <w:r w:rsidR="008732B7" w:rsidRPr="00737726">
              <w:rPr>
                <w:rStyle w:val="Bodytext213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084" w:type="dxa"/>
            <w:shd w:val="clear" w:color="auto" w:fill="FFFFFF"/>
            <w:vAlign w:val="center"/>
          </w:tcPr>
          <w:p w:rsidR="00CD0875" w:rsidRPr="00737726" w:rsidRDefault="002311F8" w:rsidP="0073772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37726">
              <w:rPr>
                <w:rStyle w:val="Bodytext213pt"/>
                <w:rFonts w:ascii="Sylfaen" w:hAnsi="Sylfaen"/>
                <w:sz w:val="22"/>
                <w:szCs w:val="22"/>
              </w:rPr>
              <w:t>Ղազախստանի Հանրապետության կառավարության կողմից</w:t>
            </w:r>
            <w:r w:rsidR="008732B7" w:rsidRPr="00737726">
              <w:rPr>
                <w:rStyle w:val="Bodytext213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192" w:type="dxa"/>
            <w:shd w:val="clear" w:color="auto" w:fill="FFFFFF"/>
            <w:vAlign w:val="center"/>
          </w:tcPr>
          <w:p w:rsidR="00CD0875" w:rsidRPr="00737726" w:rsidRDefault="002311F8" w:rsidP="0073772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37726">
              <w:rPr>
                <w:rStyle w:val="Bodytext213pt"/>
                <w:rFonts w:ascii="Sylfaen" w:hAnsi="Sylfaen"/>
                <w:sz w:val="22"/>
                <w:szCs w:val="22"/>
              </w:rPr>
              <w:t>Ղրղզստանի Հանրապետության կառավարության կողմից</w:t>
            </w:r>
            <w:r w:rsidR="008732B7" w:rsidRPr="00737726">
              <w:rPr>
                <w:rStyle w:val="Bodytext213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041" w:type="dxa"/>
            <w:shd w:val="clear" w:color="auto" w:fill="FFFFFF"/>
            <w:vAlign w:val="center"/>
          </w:tcPr>
          <w:p w:rsidR="00CD0875" w:rsidRPr="00737726" w:rsidRDefault="002311F8" w:rsidP="0073772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737726">
              <w:rPr>
                <w:rStyle w:val="Bodytext213pt"/>
                <w:rFonts w:ascii="Sylfaen" w:hAnsi="Sylfaen"/>
                <w:sz w:val="22"/>
                <w:szCs w:val="22"/>
              </w:rPr>
              <w:t>Ռուսաստանի Դաշնության կառավարության կողմից</w:t>
            </w:r>
            <w:r w:rsidR="008732B7" w:rsidRPr="00737726">
              <w:rPr>
                <w:rStyle w:val="Bodytext213pt"/>
                <w:rFonts w:ascii="Sylfaen" w:hAnsi="Sylfaen"/>
                <w:sz w:val="22"/>
                <w:szCs w:val="22"/>
              </w:rPr>
              <w:t>՝</w:t>
            </w:r>
          </w:p>
        </w:tc>
      </w:tr>
    </w:tbl>
    <w:p w:rsidR="00CD0875" w:rsidRPr="0047443F" w:rsidRDefault="00CD0875" w:rsidP="0047443F">
      <w:pPr>
        <w:spacing w:after="160" w:line="360" w:lineRule="auto"/>
      </w:pPr>
    </w:p>
    <w:p w:rsidR="00CD0875" w:rsidRPr="0047443F" w:rsidRDefault="00CD0875" w:rsidP="0047443F">
      <w:pPr>
        <w:spacing w:after="160" w:line="360" w:lineRule="auto"/>
      </w:pPr>
    </w:p>
    <w:p w:rsidR="00CD0875" w:rsidRPr="0047443F" w:rsidRDefault="00CD0875" w:rsidP="0047443F">
      <w:pPr>
        <w:spacing w:after="160" w:line="360" w:lineRule="auto"/>
        <w:sectPr w:rsidR="00CD0875" w:rsidRPr="0047443F" w:rsidSect="009D2BB2">
          <w:footerReference w:type="default" r:id="rId9"/>
          <w:pgSz w:w="11900" w:h="16840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left="7938" w:right="-30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lastRenderedPageBreak/>
        <w:t>ՀԱՎԵԼՎԱԾ</w:t>
      </w:r>
    </w:p>
    <w:p w:rsidR="00CD0875" w:rsidRPr="0047443F" w:rsidRDefault="002311F8" w:rsidP="0047443F">
      <w:pPr>
        <w:pStyle w:val="Bodytext20"/>
        <w:shd w:val="clear" w:color="auto" w:fill="auto"/>
        <w:spacing w:before="0" w:after="160" w:line="360" w:lineRule="auto"/>
        <w:ind w:left="7938" w:right="-30"/>
        <w:jc w:val="center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«Եվրասիական տնտեսական միության մաքսային տարածքով վտանգավոր թափոնների անդրսահմանային տեղափոխման մասին» համաձայնագրի</w:t>
      </w:r>
    </w:p>
    <w:p w:rsidR="002258EE" w:rsidRPr="0047443F" w:rsidRDefault="002258EE" w:rsidP="0047443F">
      <w:pPr>
        <w:pStyle w:val="Bodytext30"/>
        <w:shd w:val="clear" w:color="auto" w:fill="auto"/>
        <w:spacing w:after="160" w:line="360" w:lineRule="auto"/>
        <w:ind w:left="1701" w:right="153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CD0875" w:rsidRPr="0047443F" w:rsidRDefault="002311F8" w:rsidP="0047443F">
      <w:pPr>
        <w:pStyle w:val="Bodytext30"/>
        <w:shd w:val="clear" w:color="auto" w:fill="auto"/>
        <w:spacing w:after="160" w:line="360" w:lineRule="auto"/>
        <w:ind w:left="1701" w:right="1530"/>
        <w:rPr>
          <w:rFonts w:ascii="Sylfaen" w:hAnsi="Sylfaen"/>
          <w:sz w:val="24"/>
          <w:szCs w:val="24"/>
        </w:rPr>
      </w:pPr>
      <w:r w:rsidRPr="0047443F">
        <w:rPr>
          <w:rStyle w:val="Bodytext3Spacing2pt"/>
          <w:rFonts w:ascii="Sylfaen" w:hAnsi="Sylfaen"/>
          <w:b/>
          <w:spacing w:val="0"/>
          <w:sz w:val="24"/>
          <w:szCs w:val="24"/>
        </w:rPr>
        <w:t>ՀԱՇՎԵՏՎՈՒԹՅՈՒՆ</w:t>
      </w:r>
    </w:p>
    <w:p w:rsidR="00CD0875" w:rsidRPr="0047443F" w:rsidRDefault="002311F8" w:rsidP="0047443F">
      <w:pPr>
        <w:pStyle w:val="Bodytext30"/>
        <w:shd w:val="clear" w:color="auto" w:fill="auto"/>
        <w:spacing w:after="160" w:line="360" w:lineRule="auto"/>
        <w:ind w:left="1701" w:right="1530"/>
        <w:rPr>
          <w:rFonts w:ascii="Sylfaen" w:hAnsi="Sylfaen"/>
          <w:sz w:val="24"/>
          <w:szCs w:val="24"/>
        </w:rPr>
      </w:pPr>
      <w:r w:rsidRPr="0047443F">
        <w:rPr>
          <w:rFonts w:ascii="Sylfaen" w:hAnsi="Sylfaen"/>
          <w:sz w:val="24"/>
          <w:szCs w:val="24"/>
        </w:rPr>
        <w:t>վտանգավոր թափոնների անդրսահմանային տեղափոխման (արտահանման) եզրակացությունների (թույլատրագրերի) մասին, որոնք տրվել են 20 ___ թվականի համար</w:t>
      </w:r>
    </w:p>
    <w:tbl>
      <w:tblPr>
        <w:tblOverlap w:val="never"/>
        <w:tblW w:w="16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1186"/>
        <w:gridCol w:w="1276"/>
        <w:gridCol w:w="1417"/>
        <w:gridCol w:w="1418"/>
        <w:gridCol w:w="1559"/>
        <w:gridCol w:w="1296"/>
        <w:gridCol w:w="1276"/>
        <w:gridCol w:w="1559"/>
        <w:gridCol w:w="1286"/>
        <w:gridCol w:w="1407"/>
        <w:gridCol w:w="1560"/>
      </w:tblGrid>
      <w:tr w:rsidR="00CD0875" w:rsidRPr="00A35860" w:rsidTr="0056000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Համարը՝</w:t>
            </w:r>
          </w:p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ը/կ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0A7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ԵԱՏՄ ԱՏԳ ԱԱ ծածկագիրը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Վտանգավոր թափոնների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Վտանգավոր թափոնների ծավալը</w:t>
            </w:r>
          </w:p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(տոննաներով)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Արտահանման պետությունը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Ներքին տարանցման պետությունը (պետությունները)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Ներմուծման պետությունը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Դիմումատուի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Ներմուծման պետությունում դիմումատուի կոնտրագենտի անվանումը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Տրանսպորտի տեսակը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 xml:space="preserve">Եզրակացության (թույլատրագրի) համարը </w:t>
            </w:r>
            <w:r w:rsidR="001549BE" w:rsidRPr="00A35860">
              <w:rPr>
                <w:rStyle w:val="Bodytext29pt"/>
                <w:rFonts w:ascii="Sylfaen" w:hAnsi="Sylfaen"/>
              </w:rPr>
              <w:t>եւ</w:t>
            </w:r>
            <w:r w:rsidRPr="00A35860">
              <w:rPr>
                <w:rStyle w:val="Bodytext29pt"/>
                <w:rFonts w:ascii="Sylfaen" w:hAnsi="Sylfaen"/>
              </w:rPr>
              <w:t xml:space="preserve"> ամսաթիվը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Եզրակացության (թույլատրագրի) գործողության ժամկետը</w:t>
            </w:r>
          </w:p>
        </w:tc>
      </w:tr>
      <w:tr w:rsidR="00CD0875" w:rsidRPr="00A35860" w:rsidTr="0056000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A35860" w:rsidRDefault="002311F8" w:rsidP="0047443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A35860">
              <w:rPr>
                <w:rStyle w:val="Bodytext29pt"/>
                <w:rFonts w:ascii="Sylfaen" w:hAnsi="Sylfaen"/>
              </w:rPr>
              <w:t>12</w:t>
            </w:r>
          </w:p>
        </w:tc>
      </w:tr>
      <w:tr w:rsidR="00CD0875" w:rsidRPr="00A35860" w:rsidTr="0056000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875" w:rsidRPr="009D3634" w:rsidRDefault="00CD0875" w:rsidP="0047443F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875" w:rsidRPr="00092568" w:rsidRDefault="00CD0875" w:rsidP="0047443F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</w:tr>
      <w:tr w:rsidR="00CD0875" w:rsidRPr="00A35860" w:rsidTr="0056000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875" w:rsidRPr="00A35860" w:rsidRDefault="00CD0875" w:rsidP="0047443F">
            <w:pPr>
              <w:spacing w:after="160" w:line="360" w:lineRule="auto"/>
              <w:rPr>
                <w:sz w:val="18"/>
                <w:szCs w:val="18"/>
              </w:rPr>
            </w:pPr>
          </w:p>
        </w:tc>
      </w:tr>
    </w:tbl>
    <w:p w:rsidR="00CD0875" w:rsidRPr="005A54C0" w:rsidRDefault="00CD0875" w:rsidP="005C33BA">
      <w:pPr>
        <w:spacing w:after="120"/>
      </w:pPr>
    </w:p>
    <w:sectPr w:rsidR="00CD0875" w:rsidRPr="005A54C0" w:rsidSect="009D2BB2">
      <w:pgSz w:w="16840" w:h="11900" w:orient="landscape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04" w:rsidRDefault="00560004" w:rsidP="00CD0875">
      <w:r>
        <w:separator/>
      </w:r>
    </w:p>
  </w:endnote>
  <w:endnote w:type="continuationSeparator" w:id="0">
    <w:p w:rsidR="00560004" w:rsidRDefault="00560004" w:rsidP="00CD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1827"/>
      <w:docPartObj>
        <w:docPartGallery w:val="Page Numbers (Bottom of Page)"/>
        <w:docPartUnique/>
      </w:docPartObj>
    </w:sdtPr>
    <w:sdtEndPr/>
    <w:sdtContent>
      <w:p w:rsidR="009D2BB2" w:rsidRDefault="00FB1A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04" w:rsidRDefault="00560004"/>
  </w:footnote>
  <w:footnote w:type="continuationSeparator" w:id="0">
    <w:p w:rsidR="00560004" w:rsidRDefault="005600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06592"/>
    <w:multiLevelType w:val="multilevel"/>
    <w:tmpl w:val="9F8AF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75"/>
    <w:rsid w:val="0000540B"/>
    <w:rsid w:val="000427C5"/>
    <w:rsid w:val="00092568"/>
    <w:rsid w:val="000B3A8E"/>
    <w:rsid w:val="000B6D45"/>
    <w:rsid w:val="00100212"/>
    <w:rsid w:val="00113DA9"/>
    <w:rsid w:val="00151AF2"/>
    <w:rsid w:val="00153A95"/>
    <w:rsid w:val="001549BE"/>
    <w:rsid w:val="001A41EF"/>
    <w:rsid w:val="001E7269"/>
    <w:rsid w:val="00204692"/>
    <w:rsid w:val="002258EE"/>
    <w:rsid w:val="002311F8"/>
    <w:rsid w:val="00234505"/>
    <w:rsid w:val="00266CB2"/>
    <w:rsid w:val="002F561D"/>
    <w:rsid w:val="003125DE"/>
    <w:rsid w:val="00387754"/>
    <w:rsid w:val="003D2CEB"/>
    <w:rsid w:val="004508EA"/>
    <w:rsid w:val="0047443F"/>
    <w:rsid w:val="004D5CF0"/>
    <w:rsid w:val="00560004"/>
    <w:rsid w:val="005A54C0"/>
    <w:rsid w:val="005C33BA"/>
    <w:rsid w:val="00737726"/>
    <w:rsid w:val="00740681"/>
    <w:rsid w:val="007A2794"/>
    <w:rsid w:val="007A6D37"/>
    <w:rsid w:val="007E7B6E"/>
    <w:rsid w:val="00846C5F"/>
    <w:rsid w:val="008732B7"/>
    <w:rsid w:val="008E6A52"/>
    <w:rsid w:val="00916E0F"/>
    <w:rsid w:val="00935B4E"/>
    <w:rsid w:val="009D2BB2"/>
    <w:rsid w:val="009D3634"/>
    <w:rsid w:val="00A265E9"/>
    <w:rsid w:val="00A35860"/>
    <w:rsid w:val="00A56FAB"/>
    <w:rsid w:val="00A7241D"/>
    <w:rsid w:val="00A73F92"/>
    <w:rsid w:val="00AC722E"/>
    <w:rsid w:val="00AD00A7"/>
    <w:rsid w:val="00AF642C"/>
    <w:rsid w:val="00B37DE5"/>
    <w:rsid w:val="00B77CC1"/>
    <w:rsid w:val="00B813C2"/>
    <w:rsid w:val="00C2422C"/>
    <w:rsid w:val="00CB28CA"/>
    <w:rsid w:val="00CD0875"/>
    <w:rsid w:val="00E01A8A"/>
    <w:rsid w:val="00E22F3B"/>
    <w:rsid w:val="00E353C9"/>
    <w:rsid w:val="00E56F10"/>
    <w:rsid w:val="00E57E0A"/>
    <w:rsid w:val="00E65132"/>
    <w:rsid w:val="00EF3671"/>
    <w:rsid w:val="00F47B3E"/>
    <w:rsid w:val="00F646D2"/>
    <w:rsid w:val="00F67BED"/>
    <w:rsid w:val="00F70032"/>
    <w:rsid w:val="00FB1AB4"/>
    <w:rsid w:val="00F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087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087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8">
    <w:name w:val="Body text (8)"/>
    <w:basedOn w:val="DefaultParagraphFont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Bold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D087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CD087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D087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F3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67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3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71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E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087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087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8">
    <w:name w:val="Body text (8)"/>
    <w:basedOn w:val="DefaultParagraphFont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Bold"/>
    <w:basedOn w:val="Bodytext2"/>
    <w:rsid w:val="00CD08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9pt">
    <w:name w:val="Body text (2) + 9 pt"/>
    <w:basedOn w:val="Bodytext2"/>
    <w:rsid w:val="00CD08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D087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CD087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D087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D08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F3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67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F3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71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E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33A1-81FE-4D81-B251-F1485296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2018-08-24T06:46:00Z</dcterms:created>
  <dcterms:modified xsi:type="dcterms:W3CDTF">2018-08-24T06:46:00Z</dcterms:modified>
</cp:coreProperties>
</file>