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70C" w:rsidRPr="0028667C" w:rsidRDefault="004077FE" w:rsidP="006E5F41">
      <w:pPr>
        <w:pStyle w:val="Bodytext20"/>
        <w:shd w:val="clear" w:color="auto" w:fill="auto"/>
        <w:spacing w:before="0" w:after="160" w:line="360" w:lineRule="auto"/>
        <w:ind w:left="10632" w:right="-30"/>
        <w:jc w:val="center"/>
        <w:rPr>
          <w:sz w:val="24"/>
          <w:szCs w:val="24"/>
        </w:rPr>
      </w:pPr>
      <w:bookmarkStart w:id="0" w:name="_GoBack"/>
      <w:bookmarkEnd w:id="0"/>
      <w:r w:rsidRPr="0028667C">
        <w:rPr>
          <w:sz w:val="24"/>
          <w:szCs w:val="24"/>
        </w:rPr>
        <w:t>ՀԱՎԵԼՎԱԾ</w:t>
      </w:r>
    </w:p>
    <w:p w:rsidR="009E270C" w:rsidRPr="0028667C" w:rsidRDefault="004077FE" w:rsidP="006E5F41">
      <w:pPr>
        <w:pStyle w:val="Bodytext20"/>
        <w:shd w:val="clear" w:color="auto" w:fill="auto"/>
        <w:spacing w:before="0" w:after="160" w:line="360" w:lineRule="auto"/>
        <w:ind w:left="10632" w:right="-30"/>
        <w:jc w:val="center"/>
        <w:rPr>
          <w:sz w:val="24"/>
          <w:szCs w:val="24"/>
        </w:rPr>
      </w:pPr>
      <w:r w:rsidRPr="0028667C">
        <w:rPr>
          <w:sz w:val="24"/>
          <w:szCs w:val="24"/>
        </w:rPr>
        <w:t>Եվրասիական տնտեսական հանձնաժողովի կոլեգիայի</w:t>
      </w:r>
      <w:r w:rsidR="006E5F41">
        <w:rPr>
          <w:sz w:val="24"/>
          <w:szCs w:val="24"/>
        </w:rPr>
        <w:br/>
      </w:r>
      <w:r w:rsidRPr="0028667C">
        <w:rPr>
          <w:sz w:val="24"/>
          <w:szCs w:val="24"/>
        </w:rPr>
        <w:t>2016 թվականի օգոստոսի 30-ի թիվ</w:t>
      </w:r>
      <w:r w:rsidR="006E5F41">
        <w:rPr>
          <w:sz w:val="24"/>
          <w:szCs w:val="24"/>
        </w:rPr>
        <w:t> </w:t>
      </w:r>
      <w:r w:rsidRPr="0028667C">
        <w:rPr>
          <w:sz w:val="24"/>
          <w:szCs w:val="24"/>
        </w:rPr>
        <w:t>98 որոշման</w:t>
      </w:r>
    </w:p>
    <w:p w:rsidR="00B250DD" w:rsidRPr="0028667C" w:rsidRDefault="00B250DD" w:rsidP="0028667C">
      <w:pPr>
        <w:pStyle w:val="Bodytext20"/>
        <w:shd w:val="clear" w:color="auto" w:fill="auto"/>
        <w:spacing w:before="0" w:after="160" w:line="360" w:lineRule="auto"/>
        <w:ind w:left="10065" w:right="-30"/>
        <w:jc w:val="center"/>
        <w:rPr>
          <w:sz w:val="24"/>
          <w:szCs w:val="24"/>
        </w:rPr>
      </w:pPr>
    </w:p>
    <w:p w:rsidR="009E270C" w:rsidRPr="0028667C" w:rsidRDefault="004077FE" w:rsidP="00ED7A6C">
      <w:pPr>
        <w:pStyle w:val="Heading20"/>
        <w:shd w:val="clear" w:color="auto" w:fill="auto"/>
        <w:spacing w:before="0" w:after="160" w:line="360" w:lineRule="auto"/>
        <w:ind w:left="567" w:right="679"/>
        <w:rPr>
          <w:sz w:val="24"/>
          <w:szCs w:val="24"/>
        </w:rPr>
      </w:pPr>
      <w:r w:rsidRPr="0028667C">
        <w:rPr>
          <w:rStyle w:val="Heading2Spacing2pt"/>
          <w:b/>
          <w:spacing w:val="0"/>
          <w:sz w:val="24"/>
          <w:szCs w:val="24"/>
        </w:rPr>
        <w:t>ԾԱՎԱԼՆԵՐԸ</w:t>
      </w:r>
    </w:p>
    <w:p w:rsidR="009E270C" w:rsidRPr="0028667C" w:rsidRDefault="004077FE" w:rsidP="00ED7A6C">
      <w:pPr>
        <w:pStyle w:val="Bodytext30"/>
        <w:shd w:val="clear" w:color="auto" w:fill="auto"/>
        <w:spacing w:after="160" w:line="360" w:lineRule="auto"/>
        <w:ind w:left="567" w:right="679"/>
        <w:rPr>
          <w:sz w:val="24"/>
          <w:szCs w:val="24"/>
        </w:rPr>
      </w:pPr>
      <w:r w:rsidRPr="0028667C">
        <w:rPr>
          <w:sz w:val="24"/>
          <w:szCs w:val="24"/>
        </w:rPr>
        <w:t>Վիետնամի Սոցիալիստական Հանրապետությունում ծագող եւ 2017 թվականին Եվրասիական տնտեսական միության անդամ պետությունների տարածք ներմուծվող երկարահատիկ բրնձի առանձին տեսակների նկատմամբ սակագնային քվոտայի՝ «Եվրասիական տնտեսական միության եւ դրա անդամ պետությունների միջեւ՝ մի կողմից, եւ Վիետնամի Սոցիալիստական Հանրապետության միջեւ՝ մյուս կողմից, ազատ առեւտրի մասին» 2015 թվականի մայիսի 29-ի համաձայնագրին համապատասխան</w:t>
      </w:r>
    </w:p>
    <w:tbl>
      <w:tblPr>
        <w:tblOverlap w:val="never"/>
        <w:tblW w:w="15197" w:type="dxa"/>
        <w:tblInd w:w="-274" w:type="dxa"/>
        <w:tblLayout w:type="fixed"/>
        <w:tblCellMar>
          <w:left w:w="10" w:type="dxa"/>
          <w:right w:w="10" w:type="dxa"/>
        </w:tblCellMar>
        <w:tblLook w:val="04A0" w:firstRow="1" w:lastRow="0" w:firstColumn="1" w:lastColumn="0" w:noHBand="0" w:noVBand="1"/>
      </w:tblPr>
      <w:tblGrid>
        <w:gridCol w:w="3119"/>
        <w:gridCol w:w="1972"/>
        <w:gridCol w:w="1998"/>
        <w:gridCol w:w="1998"/>
        <w:gridCol w:w="2002"/>
        <w:gridCol w:w="1991"/>
        <w:gridCol w:w="2117"/>
      </w:tblGrid>
      <w:tr w:rsidR="009E270C" w:rsidRPr="006E5F41" w:rsidTr="004340BE">
        <w:trPr>
          <w:tblHeader/>
        </w:trPr>
        <w:tc>
          <w:tcPr>
            <w:tcW w:w="3119" w:type="dxa"/>
            <w:vMerge w:val="restart"/>
            <w:tcBorders>
              <w:top w:val="single" w:sz="4" w:space="0" w:color="auto"/>
              <w:left w:val="single" w:sz="4" w:space="0" w:color="auto"/>
            </w:tcBorders>
            <w:shd w:val="clear" w:color="auto" w:fill="FFFFFF"/>
            <w:vAlign w:val="center"/>
          </w:tcPr>
          <w:p w:rsidR="009E270C" w:rsidRPr="006E5F41" w:rsidRDefault="004077FE" w:rsidP="006E5F41">
            <w:pPr>
              <w:pStyle w:val="Bodytext20"/>
              <w:shd w:val="clear" w:color="auto" w:fill="auto"/>
              <w:spacing w:before="0" w:after="120" w:line="240" w:lineRule="auto"/>
              <w:ind w:left="260"/>
              <w:jc w:val="center"/>
              <w:rPr>
                <w:sz w:val="22"/>
                <w:szCs w:val="22"/>
              </w:rPr>
            </w:pPr>
            <w:r w:rsidRPr="006E5F41">
              <w:rPr>
                <w:rStyle w:val="Bodytext212pt"/>
                <w:sz w:val="22"/>
                <w:szCs w:val="22"/>
              </w:rPr>
              <w:t>Ապրանքի անվանումը</w:t>
            </w:r>
          </w:p>
        </w:tc>
        <w:tc>
          <w:tcPr>
            <w:tcW w:w="1972" w:type="dxa"/>
            <w:vMerge w:val="restart"/>
            <w:tcBorders>
              <w:top w:val="single" w:sz="4" w:space="0" w:color="auto"/>
              <w:left w:val="single" w:sz="4" w:space="0" w:color="auto"/>
            </w:tcBorders>
            <w:shd w:val="clear" w:color="auto" w:fill="FFFFFF"/>
            <w:vAlign w:val="center"/>
          </w:tcPr>
          <w:p w:rsidR="009E270C" w:rsidRPr="006E5F41" w:rsidRDefault="004077FE" w:rsidP="006E5F41">
            <w:pPr>
              <w:pStyle w:val="Bodytext20"/>
              <w:shd w:val="clear" w:color="auto" w:fill="auto"/>
              <w:spacing w:before="0" w:after="120" w:line="240" w:lineRule="auto"/>
              <w:jc w:val="center"/>
              <w:rPr>
                <w:sz w:val="22"/>
                <w:szCs w:val="22"/>
              </w:rPr>
            </w:pPr>
            <w:r w:rsidRPr="006E5F41">
              <w:rPr>
                <w:rStyle w:val="Bodytext212pt"/>
                <w:sz w:val="22"/>
                <w:szCs w:val="22"/>
              </w:rPr>
              <w:t>ԵԱՏՄ ԱՏԳ ԱԱ ծածկագիրը</w:t>
            </w:r>
          </w:p>
        </w:tc>
        <w:tc>
          <w:tcPr>
            <w:tcW w:w="1998" w:type="dxa"/>
            <w:tcBorders>
              <w:top w:val="single" w:sz="4" w:space="0" w:color="auto"/>
              <w:left w:val="single" w:sz="4" w:space="0" w:color="auto"/>
            </w:tcBorders>
            <w:shd w:val="clear" w:color="auto" w:fill="FFFFFF"/>
            <w:vAlign w:val="center"/>
          </w:tcPr>
          <w:p w:rsidR="009E270C" w:rsidRPr="006E5F41" w:rsidRDefault="009E270C" w:rsidP="006E5F41">
            <w:pPr>
              <w:spacing w:after="120"/>
              <w:jc w:val="center"/>
              <w:rPr>
                <w:sz w:val="22"/>
                <w:szCs w:val="22"/>
              </w:rPr>
            </w:pPr>
          </w:p>
        </w:tc>
        <w:tc>
          <w:tcPr>
            <w:tcW w:w="5991" w:type="dxa"/>
            <w:gridSpan w:val="3"/>
            <w:tcBorders>
              <w:top w:val="single" w:sz="4" w:space="0" w:color="auto"/>
            </w:tcBorders>
            <w:shd w:val="clear" w:color="auto" w:fill="FFFFFF"/>
            <w:vAlign w:val="center"/>
          </w:tcPr>
          <w:p w:rsidR="009E270C" w:rsidRPr="006E5F41" w:rsidRDefault="004077FE" w:rsidP="006E5F41">
            <w:pPr>
              <w:pStyle w:val="Bodytext20"/>
              <w:shd w:val="clear" w:color="auto" w:fill="auto"/>
              <w:spacing w:before="0" w:after="120" w:line="240" w:lineRule="auto"/>
              <w:jc w:val="center"/>
              <w:rPr>
                <w:sz w:val="22"/>
                <w:szCs w:val="22"/>
              </w:rPr>
            </w:pPr>
            <w:r w:rsidRPr="006E5F41">
              <w:rPr>
                <w:rStyle w:val="Bodytext212pt"/>
                <w:sz w:val="22"/>
                <w:szCs w:val="22"/>
              </w:rPr>
              <w:t>Սակագնային քվոտայի ծավալները (տոննա)</w:t>
            </w:r>
          </w:p>
        </w:tc>
        <w:tc>
          <w:tcPr>
            <w:tcW w:w="2117" w:type="dxa"/>
            <w:tcBorders>
              <w:top w:val="single" w:sz="4" w:space="0" w:color="auto"/>
              <w:right w:val="single" w:sz="4" w:space="0" w:color="auto"/>
            </w:tcBorders>
            <w:shd w:val="clear" w:color="auto" w:fill="FFFFFF"/>
            <w:vAlign w:val="center"/>
          </w:tcPr>
          <w:p w:rsidR="009E270C" w:rsidRPr="006E5F41" w:rsidRDefault="009E270C" w:rsidP="006E5F41">
            <w:pPr>
              <w:spacing w:after="120"/>
              <w:jc w:val="center"/>
              <w:rPr>
                <w:sz w:val="22"/>
                <w:szCs w:val="22"/>
              </w:rPr>
            </w:pPr>
          </w:p>
        </w:tc>
      </w:tr>
      <w:tr w:rsidR="009E270C" w:rsidRPr="006E5F41" w:rsidTr="004340BE">
        <w:trPr>
          <w:trHeight w:val="1018"/>
          <w:tblHeader/>
        </w:trPr>
        <w:tc>
          <w:tcPr>
            <w:tcW w:w="3119" w:type="dxa"/>
            <w:vMerge/>
            <w:tcBorders>
              <w:left w:val="single" w:sz="4" w:space="0" w:color="auto"/>
            </w:tcBorders>
            <w:shd w:val="clear" w:color="auto" w:fill="FFFFFF"/>
            <w:vAlign w:val="center"/>
          </w:tcPr>
          <w:p w:rsidR="009E270C" w:rsidRPr="006E5F41" w:rsidRDefault="009E270C" w:rsidP="006E5F41">
            <w:pPr>
              <w:spacing w:after="120"/>
              <w:jc w:val="center"/>
              <w:rPr>
                <w:sz w:val="22"/>
                <w:szCs w:val="22"/>
              </w:rPr>
            </w:pPr>
          </w:p>
        </w:tc>
        <w:tc>
          <w:tcPr>
            <w:tcW w:w="1972" w:type="dxa"/>
            <w:vMerge/>
            <w:tcBorders>
              <w:left w:val="single" w:sz="4" w:space="0" w:color="auto"/>
            </w:tcBorders>
            <w:shd w:val="clear" w:color="auto" w:fill="FFFFFF"/>
            <w:vAlign w:val="center"/>
          </w:tcPr>
          <w:p w:rsidR="009E270C" w:rsidRPr="006E5F41" w:rsidRDefault="009E270C" w:rsidP="006E5F41">
            <w:pPr>
              <w:spacing w:after="120"/>
              <w:jc w:val="center"/>
              <w:rPr>
                <w:sz w:val="22"/>
                <w:szCs w:val="22"/>
              </w:rPr>
            </w:pPr>
          </w:p>
        </w:tc>
        <w:tc>
          <w:tcPr>
            <w:tcW w:w="1998" w:type="dxa"/>
            <w:tcBorders>
              <w:top w:val="single" w:sz="4" w:space="0" w:color="auto"/>
              <w:left w:val="single" w:sz="4" w:space="0" w:color="auto"/>
            </w:tcBorders>
            <w:shd w:val="clear" w:color="auto" w:fill="FFFFFF"/>
            <w:vAlign w:val="center"/>
          </w:tcPr>
          <w:p w:rsidR="009E270C" w:rsidRPr="006E5F41" w:rsidRDefault="004077FE" w:rsidP="006E5F41">
            <w:pPr>
              <w:pStyle w:val="Bodytext20"/>
              <w:shd w:val="clear" w:color="auto" w:fill="auto"/>
              <w:spacing w:before="0" w:after="120" w:line="240" w:lineRule="auto"/>
              <w:jc w:val="center"/>
              <w:rPr>
                <w:sz w:val="22"/>
                <w:szCs w:val="22"/>
              </w:rPr>
            </w:pPr>
            <w:r w:rsidRPr="006E5F41">
              <w:rPr>
                <w:rStyle w:val="Bodytext212pt"/>
                <w:sz w:val="22"/>
                <w:szCs w:val="22"/>
              </w:rPr>
              <w:t>Հայաստանի Հանրապետություն</w:t>
            </w:r>
          </w:p>
        </w:tc>
        <w:tc>
          <w:tcPr>
            <w:tcW w:w="1998" w:type="dxa"/>
            <w:tcBorders>
              <w:top w:val="single" w:sz="4" w:space="0" w:color="auto"/>
              <w:left w:val="single" w:sz="4" w:space="0" w:color="auto"/>
            </w:tcBorders>
            <w:shd w:val="clear" w:color="auto" w:fill="FFFFFF"/>
            <w:vAlign w:val="center"/>
          </w:tcPr>
          <w:p w:rsidR="009E270C" w:rsidRPr="006E5F41" w:rsidRDefault="004077FE" w:rsidP="006E5F41">
            <w:pPr>
              <w:pStyle w:val="Bodytext20"/>
              <w:shd w:val="clear" w:color="auto" w:fill="auto"/>
              <w:spacing w:before="0" w:after="120" w:line="240" w:lineRule="auto"/>
              <w:jc w:val="center"/>
              <w:rPr>
                <w:sz w:val="22"/>
                <w:szCs w:val="22"/>
              </w:rPr>
            </w:pPr>
            <w:r w:rsidRPr="006E5F41">
              <w:rPr>
                <w:rStyle w:val="Bodytext212pt"/>
                <w:sz w:val="22"/>
                <w:szCs w:val="22"/>
              </w:rPr>
              <w:t>Բելառուսի Հանրապետություն</w:t>
            </w:r>
          </w:p>
        </w:tc>
        <w:tc>
          <w:tcPr>
            <w:tcW w:w="2002" w:type="dxa"/>
            <w:tcBorders>
              <w:top w:val="single" w:sz="4" w:space="0" w:color="auto"/>
              <w:left w:val="single" w:sz="4" w:space="0" w:color="auto"/>
            </w:tcBorders>
            <w:shd w:val="clear" w:color="auto" w:fill="FFFFFF"/>
            <w:vAlign w:val="center"/>
          </w:tcPr>
          <w:p w:rsidR="009E270C" w:rsidRPr="006E5F41" w:rsidRDefault="004077FE" w:rsidP="006E5F41">
            <w:pPr>
              <w:pStyle w:val="Bodytext20"/>
              <w:shd w:val="clear" w:color="auto" w:fill="auto"/>
              <w:spacing w:before="0" w:after="120" w:line="240" w:lineRule="auto"/>
              <w:jc w:val="center"/>
              <w:rPr>
                <w:sz w:val="22"/>
                <w:szCs w:val="22"/>
              </w:rPr>
            </w:pPr>
            <w:r w:rsidRPr="006E5F41">
              <w:rPr>
                <w:rStyle w:val="Bodytext212pt"/>
                <w:sz w:val="22"/>
                <w:szCs w:val="22"/>
              </w:rPr>
              <w:t>Ղազախստանի Հանրապետություն</w:t>
            </w:r>
          </w:p>
        </w:tc>
        <w:tc>
          <w:tcPr>
            <w:tcW w:w="1991" w:type="dxa"/>
            <w:tcBorders>
              <w:top w:val="single" w:sz="4" w:space="0" w:color="auto"/>
              <w:left w:val="single" w:sz="4" w:space="0" w:color="auto"/>
            </w:tcBorders>
            <w:shd w:val="clear" w:color="auto" w:fill="FFFFFF"/>
            <w:vAlign w:val="center"/>
          </w:tcPr>
          <w:p w:rsidR="009E270C" w:rsidRPr="006E5F41" w:rsidRDefault="004077FE" w:rsidP="006E5F41">
            <w:pPr>
              <w:pStyle w:val="Bodytext20"/>
              <w:shd w:val="clear" w:color="auto" w:fill="auto"/>
              <w:spacing w:before="0" w:after="120" w:line="240" w:lineRule="auto"/>
              <w:jc w:val="center"/>
              <w:rPr>
                <w:sz w:val="22"/>
                <w:szCs w:val="22"/>
              </w:rPr>
            </w:pPr>
            <w:r w:rsidRPr="006E5F41">
              <w:rPr>
                <w:rStyle w:val="Bodytext212pt"/>
                <w:sz w:val="22"/>
                <w:szCs w:val="22"/>
              </w:rPr>
              <w:t>Ղրղզստանի Հանրապետություն</w:t>
            </w:r>
          </w:p>
        </w:tc>
        <w:tc>
          <w:tcPr>
            <w:tcW w:w="2117" w:type="dxa"/>
            <w:tcBorders>
              <w:top w:val="single" w:sz="4" w:space="0" w:color="auto"/>
              <w:left w:val="single" w:sz="4" w:space="0" w:color="auto"/>
              <w:right w:val="single" w:sz="4" w:space="0" w:color="auto"/>
            </w:tcBorders>
            <w:shd w:val="clear" w:color="auto" w:fill="FFFFFF"/>
            <w:vAlign w:val="center"/>
          </w:tcPr>
          <w:p w:rsidR="009E270C" w:rsidRPr="006E5F41" w:rsidRDefault="004077FE" w:rsidP="006E5F41">
            <w:pPr>
              <w:pStyle w:val="Bodytext20"/>
              <w:shd w:val="clear" w:color="auto" w:fill="auto"/>
              <w:spacing w:before="0" w:after="120" w:line="240" w:lineRule="auto"/>
              <w:jc w:val="center"/>
              <w:rPr>
                <w:sz w:val="22"/>
                <w:szCs w:val="22"/>
              </w:rPr>
            </w:pPr>
            <w:r w:rsidRPr="006E5F41">
              <w:rPr>
                <w:rStyle w:val="Bodytext212pt"/>
                <w:sz w:val="22"/>
                <w:szCs w:val="22"/>
              </w:rPr>
              <w:t>Ռուսաստանի Դաշնություն</w:t>
            </w:r>
          </w:p>
        </w:tc>
      </w:tr>
      <w:tr w:rsidR="009E270C" w:rsidRPr="006E5F41" w:rsidTr="004340BE">
        <w:tc>
          <w:tcPr>
            <w:tcW w:w="3119" w:type="dxa"/>
            <w:tcBorders>
              <w:top w:val="single" w:sz="4" w:space="0" w:color="auto"/>
              <w:left w:val="single" w:sz="4" w:space="0" w:color="auto"/>
            </w:tcBorders>
            <w:shd w:val="clear" w:color="auto" w:fill="FFFFFF"/>
            <w:vAlign w:val="bottom"/>
          </w:tcPr>
          <w:p w:rsidR="009E270C" w:rsidRPr="006E5F41" w:rsidRDefault="004077FE" w:rsidP="00ED7A6C">
            <w:pPr>
              <w:pStyle w:val="Bodytext20"/>
              <w:shd w:val="clear" w:color="auto" w:fill="auto"/>
              <w:spacing w:before="0" w:after="120" w:line="240" w:lineRule="auto"/>
              <w:jc w:val="left"/>
              <w:rPr>
                <w:sz w:val="22"/>
                <w:szCs w:val="22"/>
              </w:rPr>
            </w:pPr>
            <w:r w:rsidRPr="006E5F41">
              <w:rPr>
                <w:rStyle w:val="Bodytext212pt"/>
                <w:sz w:val="22"/>
                <w:szCs w:val="22"/>
              </w:rPr>
              <w:t xml:space="preserve">Ամբողջությամբ ծեծած, շոգեհարած երկարահատիկ բրինձ՝ լայնության նկատմամբ </w:t>
            </w:r>
            <w:r w:rsidRPr="006E5F41">
              <w:rPr>
                <w:rStyle w:val="Bodytext212pt"/>
                <w:sz w:val="22"/>
                <w:szCs w:val="22"/>
              </w:rPr>
              <w:lastRenderedPageBreak/>
              <w:t>երկարության՝ 3 կամ ավելի հարաբերակցությամբ</w:t>
            </w:r>
          </w:p>
        </w:tc>
        <w:tc>
          <w:tcPr>
            <w:tcW w:w="1972" w:type="dxa"/>
            <w:tcBorders>
              <w:top w:val="single" w:sz="4" w:space="0" w:color="auto"/>
              <w:left w:val="single" w:sz="4" w:space="0" w:color="auto"/>
            </w:tcBorders>
            <w:shd w:val="clear" w:color="auto" w:fill="FFFFFF"/>
            <w:vAlign w:val="center"/>
          </w:tcPr>
          <w:p w:rsidR="009E270C" w:rsidRPr="006E5F41" w:rsidRDefault="004077FE" w:rsidP="004340BE">
            <w:pPr>
              <w:pStyle w:val="Bodytext20"/>
              <w:shd w:val="clear" w:color="auto" w:fill="auto"/>
              <w:spacing w:before="0" w:after="120" w:line="240" w:lineRule="auto"/>
              <w:jc w:val="center"/>
              <w:rPr>
                <w:sz w:val="22"/>
                <w:szCs w:val="22"/>
              </w:rPr>
            </w:pPr>
            <w:r w:rsidRPr="006E5F41">
              <w:rPr>
                <w:rStyle w:val="Bodytext212pt"/>
                <w:sz w:val="22"/>
                <w:szCs w:val="22"/>
              </w:rPr>
              <w:lastRenderedPageBreak/>
              <w:t>1006 30 670 1</w:t>
            </w:r>
          </w:p>
        </w:tc>
        <w:tc>
          <w:tcPr>
            <w:tcW w:w="1998" w:type="dxa"/>
            <w:tcBorders>
              <w:top w:val="single" w:sz="4" w:space="0" w:color="auto"/>
              <w:left w:val="single" w:sz="4" w:space="0" w:color="auto"/>
            </w:tcBorders>
            <w:shd w:val="clear" w:color="auto" w:fill="FFFFFF"/>
            <w:vAlign w:val="center"/>
          </w:tcPr>
          <w:p w:rsidR="009E270C" w:rsidRPr="006E5F41" w:rsidRDefault="004077FE" w:rsidP="004340BE">
            <w:pPr>
              <w:pStyle w:val="Bodytext20"/>
              <w:shd w:val="clear" w:color="auto" w:fill="auto"/>
              <w:spacing w:before="0" w:after="120" w:line="240" w:lineRule="auto"/>
              <w:jc w:val="center"/>
              <w:rPr>
                <w:sz w:val="22"/>
                <w:szCs w:val="22"/>
              </w:rPr>
            </w:pPr>
            <w:r w:rsidRPr="006E5F41">
              <w:rPr>
                <w:rStyle w:val="Bodytext212pt"/>
                <w:sz w:val="22"/>
                <w:szCs w:val="22"/>
              </w:rPr>
              <w:t>0,0</w:t>
            </w:r>
          </w:p>
        </w:tc>
        <w:tc>
          <w:tcPr>
            <w:tcW w:w="1998" w:type="dxa"/>
            <w:tcBorders>
              <w:top w:val="single" w:sz="4" w:space="0" w:color="auto"/>
              <w:left w:val="single" w:sz="4" w:space="0" w:color="auto"/>
            </w:tcBorders>
            <w:shd w:val="clear" w:color="auto" w:fill="FFFFFF"/>
            <w:vAlign w:val="center"/>
          </w:tcPr>
          <w:p w:rsidR="009E270C" w:rsidRPr="006E5F41" w:rsidRDefault="004077FE" w:rsidP="004340BE">
            <w:pPr>
              <w:pStyle w:val="Bodytext20"/>
              <w:shd w:val="clear" w:color="auto" w:fill="auto"/>
              <w:spacing w:before="0" w:after="120" w:line="240" w:lineRule="auto"/>
              <w:jc w:val="center"/>
              <w:rPr>
                <w:sz w:val="22"/>
                <w:szCs w:val="22"/>
              </w:rPr>
            </w:pPr>
            <w:r w:rsidRPr="006E5F41">
              <w:rPr>
                <w:rStyle w:val="Bodytext212pt"/>
                <w:sz w:val="22"/>
                <w:szCs w:val="22"/>
              </w:rPr>
              <w:t>1</w:t>
            </w:r>
            <w:r w:rsidR="00932AFA" w:rsidRPr="006E5F41">
              <w:rPr>
                <w:rStyle w:val="Bodytext212pt"/>
                <w:sz w:val="22"/>
                <w:szCs w:val="22"/>
              </w:rPr>
              <w:t xml:space="preserve"> </w:t>
            </w:r>
            <w:r w:rsidRPr="006E5F41">
              <w:rPr>
                <w:rStyle w:val="Bodytext212pt"/>
                <w:sz w:val="22"/>
                <w:szCs w:val="22"/>
              </w:rPr>
              <w:t>026</w:t>
            </w:r>
            <w:r w:rsidR="00932AFA" w:rsidRPr="006E5F41">
              <w:rPr>
                <w:rStyle w:val="Bodytext212pt"/>
                <w:sz w:val="22"/>
                <w:szCs w:val="22"/>
              </w:rPr>
              <w:t>,</w:t>
            </w:r>
            <w:r w:rsidRPr="006E5F41">
              <w:rPr>
                <w:rStyle w:val="Bodytext212pt"/>
                <w:sz w:val="22"/>
                <w:szCs w:val="22"/>
              </w:rPr>
              <w:t>0</w:t>
            </w:r>
          </w:p>
        </w:tc>
        <w:tc>
          <w:tcPr>
            <w:tcW w:w="2002" w:type="dxa"/>
            <w:tcBorders>
              <w:top w:val="single" w:sz="4" w:space="0" w:color="auto"/>
              <w:left w:val="single" w:sz="4" w:space="0" w:color="auto"/>
            </w:tcBorders>
            <w:shd w:val="clear" w:color="auto" w:fill="FFFFFF"/>
            <w:vAlign w:val="center"/>
          </w:tcPr>
          <w:p w:rsidR="009E270C" w:rsidRPr="006E5F41" w:rsidRDefault="004077FE" w:rsidP="004340BE">
            <w:pPr>
              <w:pStyle w:val="Bodytext20"/>
              <w:shd w:val="clear" w:color="auto" w:fill="auto"/>
              <w:spacing w:before="0" w:after="120" w:line="240" w:lineRule="auto"/>
              <w:jc w:val="center"/>
              <w:rPr>
                <w:sz w:val="22"/>
                <w:szCs w:val="22"/>
              </w:rPr>
            </w:pPr>
            <w:r w:rsidRPr="006E5F41">
              <w:rPr>
                <w:rStyle w:val="Bodytext212pt"/>
                <w:sz w:val="22"/>
                <w:szCs w:val="22"/>
              </w:rPr>
              <w:t>0</w:t>
            </w:r>
            <w:r w:rsidR="00932AFA" w:rsidRPr="006E5F41">
              <w:rPr>
                <w:rStyle w:val="Bodytext212pt"/>
                <w:sz w:val="22"/>
                <w:szCs w:val="22"/>
              </w:rPr>
              <w:t>,</w:t>
            </w:r>
            <w:r w:rsidRPr="006E5F41">
              <w:rPr>
                <w:rStyle w:val="Bodytext212pt"/>
                <w:sz w:val="22"/>
                <w:szCs w:val="22"/>
              </w:rPr>
              <w:t>0</w:t>
            </w:r>
          </w:p>
        </w:tc>
        <w:tc>
          <w:tcPr>
            <w:tcW w:w="1991" w:type="dxa"/>
            <w:tcBorders>
              <w:top w:val="single" w:sz="4" w:space="0" w:color="auto"/>
              <w:left w:val="single" w:sz="4" w:space="0" w:color="auto"/>
            </w:tcBorders>
            <w:shd w:val="clear" w:color="auto" w:fill="FFFFFF"/>
            <w:vAlign w:val="center"/>
          </w:tcPr>
          <w:p w:rsidR="009E270C" w:rsidRPr="006E5F41" w:rsidRDefault="004077FE" w:rsidP="004340BE">
            <w:pPr>
              <w:pStyle w:val="Bodytext20"/>
              <w:shd w:val="clear" w:color="auto" w:fill="auto"/>
              <w:spacing w:before="0" w:after="120" w:line="240" w:lineRule="auto"/>
              <w:jc w:val="center"/>
              <w:rPr>
                <w:sz w:val="22"/>
                <w:szCs w:val="22"/>
              </w:rPr>
            </w:pPr>
            <w:r w:rsidRPr="006E5F41">
              <w:rPr>
                <w:rStyle w:val="Bodytext212pt"/>
                <w:sz w:val="22"/>
                <w:szCs w:val="22"/>
              </w:rPr>
              <w:t>0</w:t>
            </w:r>
            <w:r w:rsidR="00932AFA" w:rsidRPr="006E5F41">
              <w:rPr>
                <w:rStyle w:val="Bodytext212pt"/>
                <w:sz w:val="22"/>
                <w:szCs w:val="22"/>
              </w:rPr>
              <w:t>,</w:t>
            </w:r>
            <w:r w:rsidRPr="006E5F41">
              <w:rPr>
                <w:rStyle w:val="Bodytext212pt"/>
                <w:sz w:val="22"/>
                <w:szCs w:val="22"/>
              </w:rPr>
              <w:t>0</w:t>
            </w:r>
          </w:p>
        </w:tc>
        <w:tc>
          <w:tcPr>
            <w:tcW w:w="2117" w:type="dxa"/>
            <w:tcBorders>
              <w:top w:val="single" w:sz="4" w:space="0" w:color="auto"/>
              <w:left w:val="single" w:sz="4" w:space="0" w:color="auto"/>
              <w:right w:val="single" w:sz="4" w:space="0" w:color="auto"/>
            </w:tcBorders>
            <w:shd w:val="clear" w:color="auto" w:fill="FFFFFF"/>
            <w:vAlign w:val="center"/>
          </w:tcPr>
          <w:p w:rsidR="009E270C" w:rsidRPr="006E5F41" w:rsidRDefault="004077FE" w:rsidP="004340BE">
            <w:pPr>
              <w:pStyle w:val="Bodytext20"/>
              <w:shd w:val="clear" w:color="auto" w:fill="auto"/>
              <w:spacing w:before="0" w:after="120" w:line="240" w:lineRule="auto"/>
              <w:jc w:val="center"/>
              <w:rPr>
                <w:sz w:val="22"/>
                <w:szCs w:val="22"/>
              </w:rPr>
            </w:pPr>
            <w:r w:rsidRPr="006E5F41">
              <w:rPr>
                <w:rStyle w:val="Bodytext212pt"/>
                <w:sz w:val="22"/>
                <w:szCs w:val="22"/>
              </w:rPr>
              <w:t>8</w:t>
            </w:r>
            <w:r w:rsidR="00932AFA" w:rsidRPr="006E5F41">
              <w:rPr>
                <w:rStyle w:val="Bodytext212pt"/>
                <w:sz w:val="22"/>
                <w:szCs w:val="22"/>
              </w:rPr>
              <w:t xml:space="preserve"> </w:t>
            </w:r>
            <w:r w:rsidRPr="006E5F41">
              <w:rPr>
                <w:rStyle w:val="Bodytext212pt"/>
                <w:sz w:val="22"/>
                <w:szCs w:val="22"/>
              </w:rPr>
              <w:t>974.0</w:t>
            </w:r>
          </w:p>
        </w:tc>
      </w:tr>
      <w:tr w:rsidR="009E270C" w:rsidRPr="006E5F41" w:rsidTr="004340BE">
        <w:tc>
          <w:tcPr>
            <w:tcW w:w="3119" w:type="dxa"/>
            <w:tcBorders>
              <w:top w:val="single" w:sz="4" w:space="0" w:color="auto"/>
              <w:left w:val="single" w:sz="4" w:space="0" w:color="auto"/>
              <w:bottom w:val="single" w:sz="4" w:space="0" w:color="auto"/>
            </w:tcBorders>
            <w:shd w:val="clear" w:color="auto" w:fill="FFFFFF"/>
          </w:tcPr>
          <w:p w:rsidR="009E270C" w:rsidRPr="006E5F41" w:rsidRDefault="004077FE" w:rsidP="00ED7A6C">
            <w:pPr>
              <w:pStyle w:val="Bodytext20"/>
              <w:shd w:val="clear" w:color="auto" w:fill="auto"/>
              <w:spacing w:before="0" w:after="120" w:line="240" w:lineRule="auto"/>
              <w:jc w:val="left"/>
              <w:rPr>
                <w:sz w:val="22"/>
                <w:szCs w:val="22"/>
              </w:rPr>
            </w:pPr>
            <w:r w:rsidRPr="006E5F41">
              <w:rPr>
                <w:rStyle w:val="Bodytext212pt"/>
                <w:sz w:val="22"/>
                <w:szCs w:val="22"/>
              </w:rPr>
              <w:lastRenderedPageBreak/>
              <w:t>Ամբողջությամբ ծեծած այլ երկարահատիկ բրինձ՝ լայնության նկատմամբ երկարության՝ 3 կամ ավելի հարաբերակցությամբ</w:t>
            </w:r>
          </w:p>
        </w:tc>
        <w:tc>
          <w:tcPr>
            <w:tcW w:w="1972" w:type="dxa"/>
            <w:tcBorders>
              <w:top w:val="single" w:sz="4" w:space="0" w:color="auto"/>
              <w:left w:val="single" w:sz="4" w:space="0" w:color="auto"/>
              <w:bottom w:val="single" w:sz="4" w:space="0" w:color="auto"/>
            </w:tcBorders>
            <w:shd w:val="clear" w:color="auto" w:fill="FFFFFF"/>
            <w:vAlign w:val="center"/>
          </w:tcPr>
          <w:p w:rsidR="009E270C" w:rsidRPr="006E5F41" w:rsidRDefault="004077FE" w:rsidP="004340BE">
            <w:pPr>
              <w:pStyle w:val="Bodytext20"/>
              <w:shd w:val="clear" w:color="auto" w:fill="auto"/>
              <w:spacing w:before="0" w:after="120" w:line="240" w:lineRule="auto"/>
              <w:jc w:val="center"/>
              <w:rPr>
                <w:sz w:val="22"/>
                <w:szCs w:val="22"/>
              </w:rPr>
            </w:pPr>
            <w:r w:rsidRPr="006E5F41">
              <w:rPr>
                <w:rStyle w:val="Bodytext212pt"/>
                <w:sz w:val="22"/>
                <w:szCs w:val="22"/>
              </w:rPr>
              <w:t>1006</w:t>
            </w:r>
            <w:r w:rsidR="00932AFA" w:rsidRPr="006E5F41">
              <w:rPr>
                <w:rStyle w:val="Bodytext212pt"/>
                <w:sz w:val="22"/>
                <w:szCs w:val="22"/>
              </w:rPr>
              <w:t xml:space="preserve"> </w:t>
            </w:r>
            <w:r w:rsidRPr="006E5F41">
              <w:rPr>
                <w:rStyle w:val="Bodytext212pt"/>
                <w:sz w:val="22"/>
                <w:szCs w:val="22"/>
              </w:rPr>
              <w:t>30</w:t>
            </w:r>
            <w:r w:rsidR="00932AFA" w:rsidRPr="006E5F41">
              <w:rPr>
                <w:rStyle w:val="Bodytext212pt"/>
                <w:sz w:val="22"/>
                <w:szCs w:val="22"/>
              </w:rPr>
              <w:t xml:space="preserve"> </w:t>
            </w:r>
            <w:r w:rsidRPr="006E5F41">
              <w:rPr>
                <w:rStyle w:val="Bodytext212pt"/>
                <w:sz w:val="22"/>
                <w:szCs w:val="22"/>
              </w:rPr>
              <w:t>980</w:t>
            </w:r>
            <w:r w:rsidR="00932AFA" w:rsidRPr="006E5F41">
              <w:rPr>
                <w:rStyle w:val="Bodytext212pt"/>
                <w:sz w:val="22"/>
                <w:szCs w:val="22"/>
              </w:rPr>
              <w:t xml:space="preserve"> </w:t>
            </w:r>
            <w:r w:rsidRPr="006E5F41">
              <w:rPr>
                <w:rStyle w:val="Bodytext212pt"/>
                <w:sz w:val="22"/>
                <w:szCs w:val="22"/>
              </w:rPr>
              <w:t>1</w:t>
            </w:r>
          </w:p>
        </w:tc>
        <w:tc>
          <w:tcPr>
            <w:tcW w:w="1998" w:type="dxa"/>
            <w:tcBorders>
              <w:left w:val="single" w:sz="4" w:space="0" w:color="auto"/>
              <w:bottom w:val="single" w:sz="4" w:space="0" w:color="auto"/>
            </w:tcBorders>
            <w:shd w:val="clear" w:color="auto" w:fill="FFFFFF"/>
            <w:vAlign w:val="center"/>
          </w:tcPr>
          <w:p w:rsidR="009E270C" w:rsidRPr="006E5F41" w:rsidRDefault="009E270C" w:rsidP="004340BE">
            <w:pPr>
              <w:spacing w:after="120"/>
              <w:jc w:val="center"/>
              <w:rPr>
                <w:sz w:val="22"/>
                <w:szCs w:val="22"/>
              </w:rPr>
            </w:pPr>
          </w:p>
        </w:tc>
        <w:tc>
          <w:tcPr>
            <w:tcW w:w="1998" w:type="dxa"/>
            <w:tcBorders>
              <w:left w:val="single" w:sz="4" w:space="0" w:color="auto"/>
              <w:bottom w:val="single" w:sz="4" w:space="0" w:color="auto"/>
            </w:tcBorders>
            <w:shd w:val="clear" w:color="auto" w:fill="FFFFFF"/>
            <w:vAlign w:val="center"/>
          </w:tcPr>
          <w:p w:rsidR="009E270C" w:rsidRPr="006E5F41" w:rsidRDefault="009E270C" w:rsidP="004340BE">
            <w:pPr>
              <w:spacing w:after="120"/>
              <w:jc w:val="center"/>
              <w:rPr>
                <w:sz w:val="22"/>
                <w:szCs w:val="22"/>
              </w:rPr>
            </w:pPr>
          </w:p>
        </w:tc>
        <w:tc>
          <w:tcPr>
            <w:tcW w:w="2002" w:type="dxa"/>
            <w:tcBorders>
              <w:left w:val="single" w:sz="4" w:space="0" w:color="auto"/>
              <w:bottom w:val="single" w:sz="4" w:space="0" w:color="auto"/>
            </w:tcBorders>
            <w:shd w:val="clear" w:color="auto" w:fill="FFFFFF"/>
            <w:vAlign w:val="center"/>
          </w:tcPr>
          <w:p w:rsidR="009E270C" w:rsidRPr="006E5F41" w:rsidRDefault="009E270C" w:rsidP="004340BE">
            <w:pPr>
              <w:spacing w:after="120"/>
              <w:jc w:val="center"/>
              <w:rPr>
                <w:sz w:val="22"/>
                <w:szCs w:val="22"/>
              </w:rPr>
            </w:pPr>
          </w:p>
        </w:tc>
        <w:tc>
          <w:tcPr>
            <w:tcW w:w="1991" w:type="dxa"/>
            <w:tcBorders>
              <w:left w:val="single" w:sz="4" w:space="0" w:color="auto"/>
              <w:bottom w:val="single" w:sz="4" w:space="0" w:color="auto"/>
            </w:tcBorders>
            <w:shd w:val="clear" w:color="auto" w:fill="FFFFFF"/>
            <w:vAlign w:val="center"/>
          </w:tcPr>
          <w:p w:rsidR="009E270C" w:rsidRPr="006E5F41" w:rsidRDefault="009E270C" w:rsidP="004340BE">
            <w:pPr>
              <w:spacing w:after="120"/>
              <w:jc w:val="center"/>
              <w:rPr>
                <w:sz w:val="22"/>
                <w:szCs w:val="22"/>
              </w:rPr>
            </w:pPr>
          </w:p>
        </w:tc>
        <w:tc>
          <w:tcPr>
            <w:tcW w:w="2117" w:type="dxa"/>
            <w:tcBorders>
              <w:left w:val="single" w:sz="4" w:space="0" w:color="auto"/>
              <w:bottom w:val="single" w:sz="4" w:space="0" w:color="auto"/>
              <w:right w:val="single" w:sz="4" w:space="0" w:color="auto"/>
            </w:tcBorders>
            <w:shd w:val="clear" w:color="auto" w:fill="FFFFFF"/>
            <w:vAlign w:val="center"/>
          </w:tcPr>
          <w:p w:rsidR="009E270C" w:rsidRPr="006E5F41" w:rsidRDefault="009E270C" w:rsidP="004340BE">
            <w:pPr>
              <w:spacing w:after="120"/>
              <w:jc w:val="center"/>
              <w:rPr>
                <w:sz w:val="22"/>
                <w:szCs w:val="22"/>
              </w:rPr>
            </w:pPr>
          </w:p>
        </w:tc>
      </w:tr>
    </w:tbl>
    <w:p w:rsidR="009E270C" w:rsidRPr="0028667C" w:rsidRDefault="009E270C" w:rsidP="0028667C">
      <w:pPr>
        <w:spacing w:after="160" w:line="360" w:lineRule="auto"/>
      </w:pPr>
    </w:p>
    <w:sectPr w:rsidR="009E270C" w:rsidRPr="0028667C" w:rsidSect="00A9124A">
      <w:footerReference w:type="default" r:id="rId7"/>
      <w:pgSz w:w="16840" w:h="11907" w:orient="landscape" w:code="9"/>
      <w:pgMar w:top="1418" w:right="1418" w:bottom="1418" w:left="1418" w:header="0" w:footer="52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E89" w:rsidRDefault="001C6E89" w:rsidP="009E270C">
      <w:r>
        <w:separator/>
      </w:r>
    </w:p>
  </w:endnote>
  <w:endnote w:type="continuationSeparator" w:id="0">
    <w:p w:rsidR="001C6E89" w:rsidRDefault="001C6E89" w:rsidP="009E2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26974"/>
      <w:docPartObj>
        <w:docPartGallery w:val="Page Numbers (Bottom of Page)"/>
        <w:docPartUnique/>
      </w:docPartObj>
    </w:sdtPr>
    <w:sdtEndPr/>
    <w:sdtContent>
      <w:p w:rsidR="00A9124A" w:rsidRDefault="001C6E89">
        <w:pPr>
          <w:pStyle w:val="Footer"/>
          <w:jc w:val="center"/>
        </w:pPr>
        <w:r>
          <w:fldChar w:fldCharType="begin"/>
        </w:r>
        <w:r>
          <w:instrText xml:space="preserve"> PAGE   \* MERGEFORMAT </w:instrText>
        </w:r>
        <w:r>
          <w:fldChar w:fldCharType="separate"/>
        </w:r>
        <w:r w:rsidR="009248AC">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E89" w:rsidRDefault="001C6E89"/>
  </w:footnote>
  <w:footnote w:type="continuationSeparator" w:id="0">
    <w:p w:rsidR="001C6E89" w:rsidRDefault="001C6E8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9E270C"/>
    <w:rsid w:val="00004C94"/>
    <w:rsid w:val="000808B6"/>
    <w:rsid w:val="001C6E89"/>
    <w:rsid w:val="001D680E"/>
    <w:rsid w:val="001D6BAE"/>
    <w:rsid w:val="0028667C"/>
    <w:rsid w:val="003159AE"/>
    <w:rsid w:val="0034290C"/>
    <w:rsid w:val="00386C4D"/>
    <w:rsid w:val="004077FE"/>
    <w:rsid w:val="004340BE"/>
    <w:rsid w:val="004B5837"/>
    <w:rsid w:val="006E5F41"/>
    <w:rsid w:val="007207B3"/>
    <w:rsid w:val="00764034"/>
    <w:rsid w:val="0076641F"/>
    <w:rsid w:val="007A0AC9"/>
    <w:rsid w:val="008F4AB1"/>
    <w:rsid w:val="009248AC"/>
    <w:rsid w:val="00932AFA"/>
    <w:rsid w:val="009E270C"/>
    <w:rsid w:val="00A10E66"/>
    <w:rsid w:val="00A24904"/>
    <w:rsid w:val="00A9124A"/>
    <w:rsid w:val="00AD36C6"/>
    <w:rsid w:val="00B250DD"/>
    <w:rsid w:val="00B301E3"/>
    <w:rsid w:val="00B4798F"/>
    <w:rsid w:val="00BD7C8C"/>
    <w:rsid w:val="00C571E9"/>
    <w:rsid w:val="00C905F9"/>
    <w:rsid w:val="00D94EC8"/>
    <w:rsid w:val="00E53E2F"/>
    <w:rsid w:val="00ED7A6C"/>
    <w:rsid w:val="00F74F57"/>
    <w:rsid w:val="00FB31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E270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E270C"/>
    <w:rPr>
      <w:color w:val="000080"/>
      <w:u w:val="single"/>
    </w:rPr>
  </w:style>
  <w:style w:type="character" w:customStyle="1" w:styleId="Heading2">
    <w:name w:val="Heading #2_"/>
    <w:basedOn w:val="DefaultParagraphFont"/>
    <w:link w:val="Heading20"/>
    <w:rsid w:val="009E270C"/>
    <w:rPr>
      <w:b/>
      <w:bCs/>
      <w:i w:val="0"/>
      <w:iCs w:val="0"/>
      <w:smallCaps w:val="0"/>
      <w:strike w:val="0"/>
      <w:sz w:val="30"/>
      <w:szCs w:val="30"/>
      <w:u w:val="none"/>
    </w:rPr>
  </w:style>
  <w:style w:type="character" w:customStyle="1" w:styleId="Heading1">
    <w:name w:val="Heading #1_"/>
    <w:basedOn w:val="DefaultParagraphFont"/>
    <w:link w:val="Heading10"/>
    <w:rsid w:val="009E270C"/>
    <w:rPr>
      <w:b w:val="0"/>
      <w:bCs w:val="0"/>
      <w:i w:val="0"/>
      <w:iCs w:val="0"/>
      <w:smallCaps w:val="0"/>
      <w:strike w:val="0"/>
      <w:sz w:val="38"/>
      <w:szCs w:val="38"/>
      <w:u w:val="none"/>
    </w:rPr>
  </w:style>
  <w:style w:type="character" w:customStyle="1" w:styleId="Tablecaption">
    <w:name w:val="Table caption_"/>
    <w:basedOn w:val="DefaultParagraphFont"/>
    <w:link w:val="Tablecaption0"/>
    <w:rsid w:val="009E270C"/>
    <w:rPr>
      <w:b/>
      <w:bCs/>
      <w:i w:val="0"/>
      <w:iCs w:val="0"/>
      <w:smallCaps w:val="0"/>
      <w:strike w:val="0"/>
      <w:sz w:val="30"/>
      <w:szCs w:val="30"/>
      <w:u w:val="none"/>
    </w:rPr>
  </w:style>
  <w:style w:type="character" w:customStyle="1" w:styleId="TablecaptionSpacing3pt">
    <w:name w:val="Table caption + Spacing 3 pt"/>
    <w:basedOn w:val="Tablecaption"/>
    <w:rsid w:val="009E270C"/>
    <w:rPr>
      <w:rFonts w:ascii="Sylfaen" w:eastAsia="Sylfaen" w:hAnsi="Sylfaen" w:cs="Sylfaen"/>
      <w:b/>
      <w:bCs/>
      <w:i w:val="0"/>
      <w:iCs w:val="0"/>
      <w:smallCaps w:val="0"/>
      <w:strike w:val="0"/>
      <w:color w:val="000000"/>
      <w:spacing w:val="70"/>
      <w:w w:val="100"/>
      <w:position w:val="0"/>
      <w:sz w:val="30"/>
      <w:szCs w:val="30"/>
      <w:u w:val="none"/>
      <w:lang w:val="hy-AM" w:eastAsia="hy-AM" w:bidi="hy-AM"/>
    </w:rPr>
  </w:style>
  <w:style w:type="character" w:customStyle="1" w:styleId="Bodytext2">
    <w:name w:val="Body text (2)_"/>
    <w:basedOn w:val="DefaultParagraphFont"/>
    <w:link w:val="Bodytext20"/>
    <w:rsid w:val="009E270C"/>
    <w:rPr>
      <w:b w:val="0"/>
      <w:bCs w:val="0"/>
      <w:i w:val="0"/>
      <w:iCs w:val="0"/>
      <w:smallCaps w:val="0"/>
      <w:strike w:val="0"/>
      <w:sz w:val="28"/>
      <w:szCs w:val="28"/>
      <w:u w:val="none"/>
    </w:rPr>
  </w:style>
  <w:style w:type="character" w:customStyle="1" w:styleId="Bodytext215pt">
    <w:name w:val="Body text (2) + 15 pt"/>
    <w:aliases w:val="Bold,Spacing 3 pt"/>
    <w:basedOn w:val="Bodytext2"/>
    <w:rsid w:val="009E270C"/>
    <w:rPr>
      <w:rFonts w:ascii="Sylfaen" w:eastAsia="Sylfaen" w:hAnsi="Sylfaen" w:cs="Sylfaen"/>
      <w:b/>
      <w:bCs/>
      <w:i w:val="0"/>
      <w:iCs w:val="0"/>
      <w:smallCaps w:val="0"/>
      <w:strike w:val="0"/>
      <w:color w:val="000000"/>
      <w:spacing w:val="70"/>
      <w:w w:val="100"/>
      <w:position w:val="0"/>
      <w:sz w:val="30"/>
      <w:szCs w:val="30"/>
      <w:u w:val="none"/>
      <w:lang w:val="hy-AM" w:eastAsia="hy-AM" w:bidi="hy-AM"/>
    </w:rPr>
  </w:style>
  <w:style w:type="character" w:customStyle="1" w:styleId="Bodytext3">
    <w:name w:val="Body text (3)_"/>
    <w:basedOn w:val="DefaultParagraphFont"/>
    <w:link w:val="Bodytext30"/>
    <w:rsid w:val="009E270C"/>
    <w:rPr>
      <w:b/>
      <w:bCs/>
      <w:i w:val="0"/>
      <w:iCs w:val="0"/>
      <w:smallCaps w:val="0"/>
      <w:strike w:val="0"/>
      <w:sz w:val="30"/>
      <w:szCs w:val="30"/>
      <w:u w:val="none"/>
    </w:rPr>
  </w:style>
  <w:style w:type="character" w:customStyle="1" w:styleId="Bodytext2Bold">
    <w:name w:val="Body text (2) + Bold"/>
    <w:aliases w:val="Spacing 2 pt"/>
    <w:basedOn w:val="Bodytext2"/>
    <w:rsid w:val="009E270C"/>
    <w:rPr>
      <w:rFonts w:ascii="Sylfaen" w:eastAsia="Sylfaen" w:hAnsi="Sylfaen" w:cs="Sylfaen"/>
      <w:b/>
      <w:bCs/>
      <w:i w:val="0"/>
      <w:iCs w:val="0"/>
      <w:smallCaps w:val="0"/>
      <w:strike w:val="0"/>
      <w:color w:val="000000"/>
      <w:spacing w:val="40"/>
      <w:w w:val="100"/>
      <w:position w:val="0"/>
      <w:sz w:val="28"/>
      <w:szCs w:val="28"/>
      <w:u w:val="none"/>
      <w:lang w:val="hy-AM" w:eastAsia="hy-AM" w:bidi="hy-AM"/>
    </w:rPr>
  </w:style>
  <w:style w:type="character" w:customStyle="1" w:styleId="Bodytext2Spacing2pt">
    <w:name w:val="Body text (2) + Spacing 2 pt"/>
    <w:basedOn w:val="Bodytext2"/>
    <w:rsid w:val="009E270C"/>
    <w:rPr>
      <w:rFonts w:ascii="Sylfaen" w:eastAsia="Sylfaen" w:hAnsi="Sylfaen" w:cs="Sylfaen"/>
      <w:b w:val="0"/>
      <w:bCs w:val="0"/>
      <w:i w:val="0"/>
      <w:iCs w:val="0"/>
      <w:smallCaps w:val="0"/>
      <w:strike w:val="0"/>
      <w:color w:val="000000"/>
      <w:spacing w:val="40"/>
      <w:w w:val="100"/>
      <w:position w:val="0"/>
      <w:sz w:val="28"/>
      <w:szCs w:val="28"/>
      <w:u w:val="none"/>
      <w:lang w:val="hy-AM" w:eastAsia="hy-AM" w:bidi="hy-AM"/>
    </w:rPr>
  </w:style>
  <w:style w:type="character" w:customStyle="1" w:styleId="Heading2Spacing2pt">
    <w:name w:val="Heading #2 + Spacing 2 pt"/>
    <w:basedOn w:val="Heading2"/>
    <w:rsid w:val="009E270C"/>
    <w:rPr>
      <w:rFonts w:ascii="Sylfaen" w:eastAsia="Sylfaen" w:hAnsi="Sylfaen" w:cs="Sylfaen"/>
      <w:b/>
      <w:bCs/>
      <w:i w:val="0"/>
      <w:iCs w:val="0"/>
      <w:smallCaps w:val="0"/>
      <w:strike w:val="0"/>
      <w:color w:val="000000"/>
      <w:spacing w:val="40"/>
      <w:w w:val="100"/>
      <w:position w:val="0"/>
      <w:sz w:val="30"/>
      <w:szCs w:val="30"/>
      <w:u w:val="none"/>
      <w:lang w:val="hy-AM" w:eastAsia="hy-AM" w:bidi="hy-AM"/>
    </w:rPr>
  </w:style>
  <w:style w:type="character" w:customStyle="1" w:styleId="Bodytext212pt">
    <w:name w:val="Body text (2) + 12 pt"/>
    <w:basedOn w:val="Bodytext2"/>
    <w:rsid w:val="009E270C"/>
    <w:rPr>
      <w:rFonts w:ascii="Sylfaen" w:eastAsia="Sylfaen" w:hAnsi="Sylfaen" w:cs="Sylfaen"/>
      <w:b w:val="0"/>
      <w:bCs w:val="0"/>
      <w:i w:val="0"/>
      <w:iCs w:val="0"/>
      <w:smallCaps w:val="0"/>
      <w:strike w:val="0"/>
      <w:color w:val="000000"/>
      <w:spacing w:val="0"/>
      <w:w w:val="100"/>
      <w:position w:val="0"/>
      <w:sz w:val="24"/>
      <w:szCs w:val="24"/>
      <w:u w:val="none"/>
      <w:lang w:val="hy-AM" w:eastAsia="hy-AM" w:bidi="hy-AM"/>
    </w:rPr>
  </w:style>
  <w:style w:type="paragraph" w:customStyle="1" w:styleId="Heading20">
    <w:name w:val="Heading #2"/>
    <w:basedOn w:val="Normal"/>
    <w:link w:val="Heading2"/>
    <w:rsid w:val="009E270C"/>
    <w:pPr>
      <w:shd w:val="clear" w:color="auto" w:fill="FFFFFF"/>
      <w:spacing w:before="600" w:line="342" w:lineRule="exact"/>
      <w:jc w:val="center"/>
      <w:outlineLvl w:val="1"/>
    </w:pPr>
    <w:rPr>
      <w:b/>
      <w:bCs/>
      <w:sz w:val="30"/>
      <w:szCs w:val="30"/>
    </w:rPr>
  </w:style>
  <w:style w:type="paragraph" w:customStyle="1" w:styleId="Heading10">
    <w:name w:val="Heading #1"/>
    <w:basedOn w:val="Normal"/>
    <w:link w:val="Heading1"/>
    <w:rsid w:val="009E270C"/>
    <w:pPr>
      <w:shd w:val="clear" w:color="auto" w:fill="FFFFFF"/>
      <w:spacing w:before="120" w:after="840" w:line="0" w:lineRule="atLeast"/>
      <w:jc w:val="center"/>
      <w:outlineLvl w:val="0"/>
    </w:pPr>
    <w:rPr>
      <w:sz w:val="38"/>
      <w:szCs w:val="38"/>
    </w:rPr>
  </w:style>
  <w:style w:type="paragraph" w:customStyle="1" w:styleId="Tablecaption0">
    <w:name w:val="Table caption"/>
    <w:basedOn w:val="Normal"/>
    <w:link w:val="Tablecaption"/>
    <w:rsid w:val="009E270C"/>
    <w:pPr>
      <w:shd w:val="clear" w:color="auto" w:fill="FFFFFF"/>
      <w:spacing w:line="0" w:lineRule="atLeast"/>
    </w:pPr>
    <w:rPr>
      <w:b/>
      <w:bCs/>
      <w:sz w:val="30"/>
      <w:szCs w:val="30"/>
    </w:rPr>
  </w:style>
  <w:style w:type="paragraph" w:customStyle="1" w:styleId="Bodytext20">
    <w:name w:val="Body text (2)"/>
    <w:basedOn w:val="Normal"/>
    <w:link w:val="Bodytext2"/>
    <w:rsid w:val="009E270C"/>
    <w:pPr>
      <w:shd w:val="clear" w:color="auto" w:fill="FFFFFF"/>
      <w:spacing w:before="480" w:line="515" w:lineRule="exact"/>
      <w:jc w:val="both"/>
    </w:pPr>
    <w:rPr>
      <w:sz w:val="28"/>
      <w:szCs w:val="28"/>
    </w:rPr>
  </w:style>
  <w:style w:type="paragraph" w:customStyle="1" w:styleId="Bodytext30">
    <w:name w:val="Body text (3)"/>
    <w:basedOn w:val="Normal"/>
    <w:link w:val="Bodytext3"/>
    <w:rsid w:val="009E270C"/>
    <w:pPr>
      <w:shd w:val="clear" w:color="auto" w:fill="FFFFFF"/>
      <w:spacing w:after="120" w:line="0" w:lineRule="atLeast"/>
      <w:jc w:val="center"/>
    </w:pPr>
    <w:rPr>
      <w:b/>
      <w:bCs/>
      <w:sz w:val="30"/>
      <w:szCs w:val="30"/>
    </w:rPr>
  </w:style>
  <w:style w:type="paragraph" w:styleId="BalloonText">
    <w:name w:val="Balloon Text"/>
    <w:basedOn w:val="Normal"/>
    <w:link w:val="BalloonTextChar"/>
    <w:uiPriority w:val="99"/>
    <w:semiHidden/>
    <w:unhideWhenUsed/>
    <w:rsid w:val="00932AFA"/>
    <w:rPr>
      <w:rFonts w:ascii="Tahoma" w:hAnsi="Tahoma" w:cs="Tahoma"/>
      <w:sz w:val="16"/>
      <w:szCs w:val="16"/>
    </w:rPr>
  </w:style>
  <w:style w:type="character" w:customStyle="1" w:styleId="BalloonTextChar">
    <w:name w:val="Balloon Text Char"/>
    <w:basedOn w:val="DefaultParagraphFont"/>
    <w:link w:val="BalloonText"/>
    <w:uiPriority w:val="99"/>
    <w:semiHidden/>
    <w:rsid w:val="00932AFA"/>
    <w:rPr>
      <w:rFonts w:ascii="Tahoma" w:hAnsi="Tahoma" w:cs="Tahoma"/>
      <w:color w:val="000000"/>
      <w:sz w:val="16"/>
      <w:szCs w:val="16"/>
    </w:rPr>
  </w:style>
  <w:style w:type="paragraph" w:styleId="Header">
    <w:name w:val="header"/>
    <w:basedOn w:val="Normal"/>
    <w:link w:val="HeaderChar"/>
    <w:uiPriority w:val="99"/>
    <w:semiHidden/>
    <w:unhideWhenUsed/>
    <w:rsid w:val="00A9124A"/>
    <w:pPr>
      <w:tabs>
        <w:tab w:val="center" w:pos="4677"/>
        <w:tab w:val="right" w:pos="9355"/>
      </w:tabs>
    </w:pPr>
  </w:style>
  <w:style w:type="character" w:customStyle="1" w:styleId="HeaderChar">
    <w:name w:val="Header Char"/>
    <w:basedOn w:val="DefaultParagraphFont"/>
    <w:link w:val="Header"/>
    <w:uiPriority w:val="99"/>
    <w:semiHidden/>
    <w:rsid w:val="00A9124A"/>
    <w:rPr>
      <w:color w:val="000000"/>
    </w:rPr>
  </w:style>
  <w:style w:type="paragraph" w:styleId="Footer">
    <w:name w:val="footer"/>
    <w:basedOn w:val="Normal"/>
    <w:link w:val="FooterChar"/>
    <w:uiPriority w:val="99"/>
    <w:unhideWhenUsed/>
    <w:rsid w:val="00A9124A"/>
    <w:pPr>
      <w:tabs>
        <w:tab w:val="center" w:pos="4677"/>
        <w:tab w:val="right" w:pos="9355"/>
      </w:tabs>
    </w:pPr>
  </w:style>
  <w:style w:type="character" w:customStyle="1" w:styleId="FooterChar">
    <w:name w:val="Footer Char"/>
    <w:basedOn w:val="DefaultParagraphFont"/>
    <w:link w:val="Footer"/>
    <w:uiPriority w:val="99"/>
    <w:rsid w:val="00A9124A"/>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150</Words>
  <Characters>860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Hayk Engoyan</cp:lastModifiedBy>
  <cp:revision>12</cp:revision>
  <dcterms:created xsi:type="dcterms:W3CDTF">2017-07-25T13:19:00Z</dcterms:created>
  <dcterms:modified xsi:type="dcterms:W3CDTF">2018-07-18T12:23:00Z</dcterms:modified>
</cp:coreProperties>
</file>