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5F" w:rsidRPr="004C61F3" w:rsidRDefault="004D08BA" w:rsidP="004C61F3">
      <w:pPr>
        <w:pStyle w:val="Bodytext20"/>
        <w:shd w:val="clear" w:color="auto" w:fill="auto"/>
        <w:spacing w:before="0" w:after="160" w:line="360" w:lineRule="auto"/>
        <w:ind w:left="9072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C61F3">
        <w:rPr>
          <w:rFonts w:ascii="Sylfaen" w:hAnsi="Sylfaen"/>
          <w:sz w:val="24"/>
          <w:szCs w:val="24"/>
        </w:rPr>
        <w:t>ՀԱՍՏԱՏՎԱԾ Է</w:t>
      </w:r>
    </w:p>
    <w:p w:rsidR="0026185F" w:rsidRPr="004C61F3" w:rsidRDefault="004D08BA" w:rsidP="004C61F3">
      <w:pPr>
        <w:pStyle w:val="Bodytext20"/>
        <w:shd w:val="clear" w:color="auto" w:fill="auto"/>
        <w:spacing w:before="0" w:after="160" w:line="360" w:lineRule="auto"/>
        <w:ind w:left="9072" w:firstLine="0"/>
        <w:jc w:val="center"/>
        <w:rPr>
          <w:rFonts w:ascii="Sylfaen" w:hAnsi="Sylfaen"/>
          <w:sz w:val="24"/>
          <w:szCs w:val="24"/>
        </w:rPr>
      </w:pPr>
      <w:r w:rsidRPr="004C61F3">
        <w:rPr>
          <w:rFonts w:ascii="Sylfaen" w:hAnsi="Sylfaen"/>
          <w:sz w:val="24"/>
          <w:szCs w:val="24"/>
        </w:rPr>
        <w:t>Եվրասիական տնտեսական հանձնաժողովի խորհրդի2017 թվականի դեկտեմբերի 20-ի թիվ 37 կարգադրությամբ</w:t>
      </w:r>
    </w:p>
    <w:p w:rsidR="00AB2741" w:rsidRPr="004C61F3" w:rsidRDefault="00AB2741" w:rsidP="004C61F3">
      <w:pPr>
        <w:pStyle w:val="Bodytext20"/>
        <w:shd w:val="clear" w:color="auto" w:fill="auto"/>
        <w:spacing w:before="0" w:after="160" w:line="360" w:lineRule="auto"/>
        <w:ind w:left="9072" w:firstLine="0"/>
        <w:jc w:val="center"/>
        <w:rPr>
          <w:rFonts w:ascii="Sylfaen" w:hAnsi="Sylfaen"/>
          <w:sz w:val="24"/>
          <w:szCs w:val="24"/>
        </w:rPr>
      </w:pPr>
    </w:p>
    <w:p w:rsidR="0026185F" w:rsidRPr="004C61F3" w:rsidRDefault="004D08BA" w:rsidP="004C61F3">
      <w:pPr>
        <w:pStyle w:val="Heading20"/>
        <w:shd w:val="clear" w:color="auto" w:fill="auto"/>
        <w:spacing w:after="160" w:line="360" w:lineRule="auto"/>
        <w:ind w:left="567" w:right="679"/>
        <w:outlineLvl w:val="9"/>
        <w:rPr>
          <w:rFonts w:ascii="Sylfaen" w:hAnsi="Sylfaen"/>
          <w:sz w:val="24"/>
          <w:szCs w:val="24"/>
        </w:rPr>
      </w:pPr>
      <w:r w:rsidRPr="004C61F3">
        <w:rPr>
          <w:rStyle w:val="Heading2Spacing2pt"/>
          <w:rFonts w:ascii="Sylfaen" w:hAnsi="Sylfaen"/>
          <w:b/>
          <w:spacing w:val="0"/>
          <w:sz w:val="24"/>
          <w:szCs w:val="24"/>
        </w:rPr>
        <w:t>ՊԼԱՆ</w:t>
      </w:r>
    </w:p>
    <w:p w:rsidR="0026185F" w:rsidRPr="004C61F3" w:rsidRDefault="004D08BA" w:rsidP="004C61F3">
      <w:pPr>
        <w:pStyle w:val="Bodytext30"/>
        <w:shd w:val="clear" w:color="auto" w:fill="auto"/>
        <w:spacing w:before="0" w:after="160" w:line="360" w:lineRule="auto"/>
        <w:ind w:left="567" w:right="679"/>
        <w:rPr>
          <w:rFonts w:ascii="Sylfaen" w:hAnsi="Sylfaen"/>
          <w:sz w:val="24"/>
          <w:szCs w:val="24"/>
        </w:rPr>
      </w:pPr>
      <w:r w:rsidRPr="004C61F3">
        <w:rPr>
          <w:rFonts w:ascii="Sylfaen" w:hAnsi="Sylfaen"/>
          <w:sz w:val="24"/>
          <w:szCs w:val="24"/>
        </w:rPr>
        <w:t>բնական մենաշնորհ</w:t>
      </w:r>
      <w:r w:rsidR="006038AC" w:rsidRPr="004C61F3">
        <w:rPr>
          <w:rFonts w:ascii="Sylfaen" w:hAnsi="Sylfaen"/>
          <w:sz w:val="24"/>
          <w:szCs w:val="24"/>
        </w:rPr>
        <w:t>ներ</w:t>
      </w:r>
      <w:r w:rsidRPr="004C61F3">
        <w:rPr>
          <w:rFonts w:ascii="Sylfaen" w:hAnsi="Sylfaen"/>
          <w:sz w:val="24"/>
          <w:szCs w:val="24"/>
        </w:rPr>
        <w:t>ի ոլորտում Եվրասիական տնտեսական միության անդամ պետությունների օրենսդրության ներդաշնակեցման ուղղությամբ համապատասխան միջոցների իրականացման հաջորդականությունը որոշելու մասով միջոցառումների («ճանապարհային քարտեզ»)</w:t>
      </w:r>
    </w:p>
    <w:tbl>
      <w:tblPr>
        <w:tblOverlap w:val="never"/>
        <w:tblW w:w="149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9"/>
        <w:gridCol w:w="39"/>
        <w:gridCol w:w="3004"/>
        <w:gridCol w:w="2420"/>
        <w:gridCol w:w="2830"/>
        <w:gridCol w:w="18"/>
      </w:tblGrid>
      <w:tr w:rsidR="0026185F" w:rsidRPr="004C61F3" w:rsidTr="00DF10AF">
        <w:trPr>
          <w:trHeight w:val="736"/>
          <w:tblHeader/>
        </w:trPr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85F" w:rsidRPr="004C61F3" w:rsidRDefault="004D08BA" w:rsidP="004C6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Միջոցառման անվանումը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85F" w:rsidRPr="004C61F3" w:rsidRDefault="004D08BA" w:rsidP="004C6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Իրագործման ժամկետը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85F" w:rsidRPr="004C61F3" w:rsidRDefault="004D08BA" w:rsidP="004C6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Պատասխանատու կատարողը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85F" w:rsidRPr="004C61F3" w:rsidRDefault="004D08BA" w:rsidP="004C61F3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Ակնկալվող արդյունքը</w:t>
            </w:r>
          </w:p>
        </w:tc>
      </w:tr>
      <w:tr w:rsidR="0026185F" w:rsidRPr="004C61F3" w:rsidTr="00DF10AF">
        <w:trPr>
          <w:trHeight w:val="788"/>
        </w:trPr>
        <w:tc>
          <w:tcPr>
            <w:tcW w:w="1498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after="120" w:line="240" w:lineRule="auto"/>
              <w:ind w:left="567" w:right="499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Փուլ I. Բնական մենաշնորհ</w:t>
            </w:r>
            <w:r w:rsidR="009B6FDA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ի սուբյեկտների գործունեության կարգավորման համակարգի ու փորձի եւ Եվրասիական տնտեսական միության անդամ պետությունների օրինաստեղծ աշխատանքի համեմատական վերլուծության իրականացում</w:t>
            </w:r>
          </w:p>
        </w:tc>
      </w:tr>
      <w:tr w:rsidR="0026185F" w:rsidRPr="004C61F3" w:rsidTr="00D76FC8">
        <w:tc>
          <w:tcPr>
            <w:tcW w:w="6669" w:type="dxa"/>
            <w:shd w:val="clear" w:color="auto" w:fill="FFFFFF"/>
            <w:vAlign w:val="bottom"/>
          </w:tcPr>
          <w:p w:rsidR="0026185F" w:rsidRPr="004C61F3" w:rsidRDefault="004C61F3" w:rsidP="00DF10AF">
            <w:pPr>
              <w:pStyle w:val="Bodytext20"/>
              <w:shd w:val="clear" w:color="auto" w:fill="auto"/>
              <w:tabs>
                <w:tab w:val="left" w:pos="567"/>
              </w:tabs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 լիազորված մարմինների կողմից ներկայացված տեղեկատվության վերլուծություն.</w:t>
            </w:r>
          </w:p>
          <w:p w:rsidR="0026185F" w:rsidRPr="004C61F3" w:rsidRDefault="004C61F3" w:rsidP="00DF10AF">
            <w:pPr>
              <w:pStyle w:val="Bodytext20"/>
              <w:shd w:val="clear" w:color="auto" w:fill="auto"/>
              <w:tabs>
                <w:tab w:val="left" w:pos="851"/>
              </w:tabs>
              <w:spacing w:before="0" w:after="6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օրինաստեղծ աշխատանքի պլանների, այդ թվում՝ բնական մենաշնորհ</w:t>
            </w:r>
            <w:r w:rsidR="00A202F7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ոլորտում անդամ պետությունների օրենսդրության կատարելագործման նախատեսվող ուղղությունների մասին</w:t>
            </w: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26185F" w:rsidRPr="004C61F3" w:rsidRDefault="004C61F3" w:rsidP="00DF10AF">
            <w:pPr>
              <w:pStyle w:val="Bodytext20"/>
              <w:shd w:val="clear" w:color="auto" w:fill="auto"/>
              <w:tabs>
                <w:tab w:val="left" w:pos="823"/>
              </w:tabs>
              <w:spacing w:before="0" w:after="6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բնական մենաշնորհ</w:t>
            </w:r>
            <w:r w:rsidR="009B6FDA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ոլորտում կարգավորման</w:t>
            </w: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եւ (կամ) հսկողության փորձի մասին</w:t>
            </w:r>
          </w:p>
        </w:tc>
        <w:tc>
          <w:tcPr>
            <w:tcW w:w="3043" w:type="dxa"/>
            <w:gridSpan w:val="2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տարեկան</w:t>
            </w:r>
          </w:p>
        </w:tc>
        <w:tc>
          <w:tcPr>
            <w:tcW w:w="2420" w:type="dxa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</w:t>
            </w:r>
          </w:p>
        </w:tc>
        <w:tc>
          <w:tcPr>
            <w:tcW w:w="2848" w:type="dxa"/>
            <w:gridSpan w:val="2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վերլուծական զեկույցը, տեղեկատվությունը</w:t>
            </w:r>
          </w:p>
        </w:tc>
      </w:tr>
      <w:tr w:rsidR="0026185F" w:rsidRPr="004C61F3" w:rsidTr="00D76FC8">
        <w:tc>
          <w:tcPr>
            <w:tcW w:w="6669" w:type="dxa"/>
            <w:shd w:val="clear" w:color="auto" w:fill="FFFFFF"/>
            <w:vAlign w:val="center"/>
          </w:tcPr>
          <w:p w:rsidR="0026185F" w:rsidRPr="004C61F3" w:rsidRDefault="004C61F3" w:rsidP="00DF10AF">
            <w:pPr>
              <w:pStyle w:val="Bodytext20"/>
              <w:shd w:val="clear" w:color="auto" w:fill="auto"/>
              <w:tabs>
                <w:tab w:val="left" w:pos="567"/>
              </w:tabs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Բնական մենաշնորհ</w:t>
            </w:r>
            <w:r w:rsidR="00A202F7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ոլորտում անդամ պետությունների օր</w:t>
            </w:r>
            <w:r w:rsidR="000F0818" w:rsidRPr="004C61F3">
              <w:rPr>
                <w:rStyle w:val="Bodytext211pt"/>
                <w:rFonts w:ascii="Sylfaen" w:hAnsi="Sylfaen"/>
                <w:sz w:val="20"/>
                <w:szCs w:val="20"/>
              </w:rPr>
              <w:t>ե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նս</w:t>
            </w:r>
            <w:r w:rsidR="00A202F7" w:rsidRPr="004C61F3">
              <w:rPr>
                <w:rStyle w:val="Bodytext211pt"/>
                <w:rFonts w:ascii="Sylfaen" w:hAnsi="Sylfaen"/>
                <w:sz w:val="20"/>
                <w:szCs w:val="20"/>
              </w:rPr>
              <w:t>դրական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 xml:space="preserve"> եւ այլ ակտերի վերլուծությունը, այդ թվում՝ </w:t>
            </w:r>
          </w:p>
          <w:p w:rsidR="0026185F" w:rsidRPr="004C61F3" w:rsidRDefault="004C61F3" w:rsidP="00DF10AF">
            <w:pPr>
              <w:pStyle w:val="Bodytext20"/>
              <w:shd w:val="clear" w:color="auto" w:fill="auto"/>
              <w:tabs>
                <w:tab w:val="left" w:pos="851"/>
              </w:tabs>
              <w:spacing w:before="0" w:after="6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բնական մենաշնորհ</w:t>
            </w:r>
            <w:r w:rsidR="00A202F7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 xml:space="preserve">ի ոլորտում օգտագործվող հասկացությունների եւ սահմանումների (տեղեկագրքի մշակմամբ) </w:t>
            </w:r>
            <w:r w:rsidR="00D76FC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D76FC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բնական մենաշնորհ</w:t>
            </w:r>
            <w:r w:rsidR="00C9050F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սուբյեկտների ծառայությունների սակագների ձեւավորման հարցերի (սակագնային քա</w:t>
            </w:r>
            <w:r w:rsidR="000F0818" w:rsidRPr="004C61F3">
              <w:rPr>
                <w:rStyle w:val="Bodytext211pt"/>
                <w:rFonts w:ascii="Sylfaen" w:hAnsi="Sylfaen"/>
                <w:sz w:val="20"/>
                <w:szCs w:val="20"/>
              </w:rPr>
              <w:t>ղ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աքականություն)</w:t>
            </w:r>
          </w:p>
          <w:p w:rsidR="0026185F" w:rsidRPr="004C61F3" w:rsidRDefault="00D76FC8" w:rsidP="00DF10AF">
            <w:pPr>
              <w:pStyle w:val="Bodytext20"/>
              <w:shd w:val="clear" w:color="auto" w:fill="auto"/>
              <w:tabs>
                <w:tab w:val="left" w:pos="851"/>
              </w:tabs>
              <w:spacing w:before="0" w:after="6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գ)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պետություններում բնական մենաշնորհ</w:t>
            </w:r>
            <w:r w:rsidR="00C9050F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սուբյեկտների գործունեության կարգավորման ընդհանուր սկզբունքների</w:t>
            </w:r>
          </w:p>
          <w:p w:rsidR="0026185F" w:rsidRPr="004C61F3" w:rsidRDefault="00D76FC8" w:rsidP="00DF10AF">
            <w:pPr>
              <w:pStyle w:val="Bodytext20"/>
              <w:shd w:val="clear" w:color="auto" w:fill="auto"/>
              <w:tabs>
                <w:tab w:val="left" w:pos="851"/>
              </w:tabs>
              <w:spacing w:before="0" w:after="6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դ)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բնական մենաշնորհ</w:t>
            </w:r>
            <w:r w:rsidR="00C9050F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սուբյեկտների ծառայությունների հասանելիության ապահովման կանոնների ու կարգի</w:t>
            </w:r>
          </w:p>
          <w:p w:rsidR="0026185F" w:rsidRPr="004C61F3" w:rsidRDefault="00D76FC8" w:rsidP="00DF10AF">
            <w:pPr>
              <w:pStyle w:val="Bodytext20"/>
              <w:shd w:val="clear" w:color="auto" w:fill="auto"/>
              <w:tabs>
                <w:tab w:val="left" w:pos="851"/>
              </w:tabs>
              <w:spacing w:before="0" w:after="6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ե)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բնական մենաշնորհ</w:t>
            </w:r>
            <w:r w:rsidR="00C9050F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 xml:space="preserve">ի սուբյեկտների ծառայությունների ցանկի եւ տվյալ ծառայությունների տրամադրման առանձնահատկությունների </w:t>
            </w:r>
          </w:p>
          <w:p w:rsidR="0026185F" w:rsidRPr="004C61F3" w:rsidRDefault="00D76FC8" w:rsidP="00DF10AF">
            <w:pPr>
              <w:pStyle w:val="Bodytext20"/>
              <w:shd w:val="clear" w:color="auto" w:fill="auto"/>
              <w:tabs>
                <w:tab w:val="left" w:pos="851"/>
              </w:tabs>
              <w:spacing w:before="0" w:after="6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զ)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ծառայությունները բնական մենաշնորհ</w:t>
            </w:r>
            <w:r w:rsidR="00C9050F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ոլորտին դասելու չափանիշների ներդաշնակեցման նպատակով</w:t>
            </w:r>
          </w:p>
        </w:tc>
        <w:tc>
          <w:tcPr>
            <w:tcW w:w="3043" w:type="dxa"/>
            <w:gridSpan w:val="2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2018-2019 թվականներ</w:t>
            </w:r>
          </w:p>
        </w:tc>
        <w:tc>
          <w:tcPr>
            <w:tcW w:w="2420" w:type="dxa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848" w:type="dxa"/>
            <w:gridSpan w:val="2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after="60" w:line="240" w:lineRule="auto"/>
              <w:ind w:right="7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հետ համաձայնեցված վերլուծական զեկույց</w:t>
            </w:r>
          </w:p>
        </w:tc>
      </w:tr>
      <w:tr w:rsidR="0026185F" w:rsidRPr="004C61F3" w:rsidTr="00D76FC8">
        <w:tc>
          <w:tcPr>
            <w:tcW w:w="6669" w:type="dxa"/>
            <w:shd w:val="clear" w:color="auto" w:fill="FFFFFF"/>
          </w:tcPr>
          <w:p w:rsidR="0026185F" w:rsidRPr="004C61F3" w:rsidRDefault="00D76FC8" w:rsidP="00DF10AF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Բնական մենաշնորհ</w:t>
            </w:r>
            <w:r w:rsidR="009B6FDA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ոլորտում անդամ պետությունների օրենսդրության ներդաշնակեցման խնդիրների եւ հեռանկարների վերլուծությունը՝ հաշվի առնելով սույն պլանի 2-րդ կետին համապատասխան իրականացված վերլուծության արդյունքները</w:t>
            </w:r>
          </w:p>
        </w:tc>
        <w:tc>
          <w:tcPr>
            <w:tcW w:w="3043" w:type="dxa"/>
            <w:gridSpan w:val="2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2018-2019 թվականներ</w:t>
            </w:r>
          </w:p>
        </w:tc>
        <w:tc>
          <w:tcPr>
            <w:tcW w:w="2420" w:type="dxa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848" w:type="dxa"/>
            <w:gridSpan w:val="2"/>
            <w:shd w:val="clear" w:color="auto" w:fill="FFFFFF"/>
            <w:vAlign w:val="bottom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after="120" w:line="240" w:lineRule="auto"/>
              <w:ind w:right="5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սույն պլանի 2-րդ կետով նախատեսված վերլուծական զեկույցում համապատասխան տեղեկատվության ներառում</w:t>
            </w:r>
          </w:p>
        </w:tc>
      </w:tr>
      <w:tr w:rsidR="0026185F" w:rsidRPr="004C61F3" w:rsidTr="00D76FC8">
        <w:trPr>
          <w:gridAfter w:val="1"/>
          <w:wAfter w:w="10" w:type="dxa"/>
        </w:trPr>
        <w:tc>
          <w:tcPr>
            <w:tcW w:w="6669" w:type="dxa"/>
            <w:shd w:val="clear" w:color="auto" w:fill="FFFFFF"/>
          </w:tcPr>
          <w:p w:rsidR="0026185F" w:rsidRPr="004C61F3" w:rsidRDefault="00D76FC8" w:rsidP="00D76FC8">
            <w:pPr>
              <w:pStyle w:val="Bodytext20"/>
              <w:shd w:val="clear" w:color="auto" w:fill="auto"/>
              <w:tabs>
                <w:tab w:val="left" w:pos="543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Բնական մենաշնորհ</w:t>
            </w:r>
            <w:r w:rsidR="00C9050F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ոլորտում անդամ պետությունների իրավակիրառ պրակտիկայի վերլուծությունը՝ հաշվի առնելով սույն պլանի 2-րդ կետին համապատասխան իրականացված վերլուծության արդյունքները</w:t>
            </w:r>
          </w:p>
        </w:tc>
        <w:tc>
          <w:tcPr>
            <w:tcW w:w="3043" w:type="dxa"/>
            <w:gridSpan w:val="2"/>
            <w:shd w:val="clear" w:color="auto" w:fill="FFFFFF"/>
          </w:tcPr>
          <w:p w:rsidR="0026185F" w:rsidRPr="004C61F3" w:rsidRDefault="004D08BA" w:rsidP="004C6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2018 - 2019 թվականներ</w:t>
            </w:r>
          </w:p>
        </w:tc>
        <w:tc>
          <w:tcPr>
            <w:tcW w:w="2420" w:type="dxa"/>
            <w:shd w:val="clear" w:color="auto" w:fill="FFFFFF"/>
          </w:tcPr>
          <w:p w:rsidR="0026185F" w:rsidRPr="004C61F3" w:rsidRDefault="004D08BA" w:rsidP="004C6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830" w:type="dxa"/>
            <w:shd w:val="clear" w:color="auto" w:fill="FFFFFF"/>
            <w:vAlign w:val="center"/>
          </w:tcPr>
          <w:p w:rsidR="0026185F" w:rsidRPr="004C61F3" w:rsidRDefault="004D08BA" w:rsidP="00D76FC8">
            <w:pPr>
              <w:pStyle w:val="Bodytext20"/>
              <w:shd w:val="clear" w:color="auto" w:fill="auto"/>
              <w:spacing w:before="0" w:after="120" w:line="240" w:lineRule="auto"/>
              <w:ind w:right="5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սույն պլանի 2-րդ կետով նախատեսված վերլուծական զեկույցում համապատասխան տեղեկատվության ներառում</w:t>
            </w:r>
          </w:p>
        </w:tc>
      </w:tr>
      <w:tr w:rsidR="0026185F" w:rsidRPr="004C61F3" w:rsidTr="00D76FC8">
        <w:trPr>
          <w:gridAfter w:val="1"/>
          <w:wAfter w:w="10" w:type="dxa"/>
        </w:trPr>
        <w:tc>
          <w:tcPr>
            <w:tcW w:w="6669" w:type="dxa"/>
            <w:shd w:val="clear" w:color="auto" w:fill="FFFFFF"/>
            <w:vAlign w:val="center"/>
          </w:tcPr>
          <w:p w:rsidR="0026185F" w:rsidRPr="004C61F3" w:rsidRDefault="00D76FC8" w:rsidP="00DF10AF">
            <w:pPr>
              <w:pStyle w:val="Bodytext20"/>
              <w:shd w:val="clear" w:color="auto" w:fill="auto"/>
              <w:tabs>
                <w:tab w:val="left" w:pos="543"/>
              </w:tabs>
              <w:spacing w:before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Բնական մենաշնորհ</w:t>
            </w:r>
            <w:r w:rsidR="0096469A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սուբյեկտների ծառայությունների շուկայի վիճակի, բնական մենաշնորհ</w:t>
            </w:r>
            <w:r w:rsidR="0096469A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ոլորտների կրճատման նպատակահարմարության եւ հնարավորության վերլուծություն</w:t>
            </w:r>
          </w:p>
        </w:tc>
        <w:tc>
          <w:tcPr>
            <w:tcW w:w="3043" w:type="dxa"/>
            <w:gridSpan w:val="2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ըստ անհրաժեշտության</w:t>
            </w:r>
          </w:p>
        </w:tc>
        <w:tc>
          <w:tcPr>
            <w:tcW w:w="2420" w:type="dxa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Հանձնաժողով,</w:t>
            </w:r>
            <w:r w:rsidR="00D76FC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  <w:tc>
          <w:tcPr>
            <w:tcW w:w="2830" w:type="dxa"/>
            <w:shd w:val="clear" w:color="auto" w:fill="FFFFFF"/>
            <w:vAlign w:val="center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վերլուծական զեկույցը, տեղեկատվությունը</w:t>
            </w:r>
          </w:p>
        </w:tc>
      </w:tr>
      <w:tr w:rsidR="0026185F" w:rsidRPr="004C61F3" w:rsidTr="00D76FC8">
        <w:trPr>
          <w:gridAfter w:val="1"/>
          <w:wAfter w:w="10" w:type="dxa"/>
        </w:trPr>
        <w:tc>
          <w:tcPr>
            <w:tcW w:w="14962" w:type="dxa"/>
            <w:gridSpan w:val="5"/>
            <w:shd w:val="clear" w:color="auto" w:fill="FFFFFF"/>
            <w:vAlign w:val="center"/>
          </w:tcPr>
          <w:p w:rsidR="0096469A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left="567" w:right="48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 xml:space="preserve">Փուլ II. </w:t>
            </w:r>
            <w:r w:rsidR="0096469A" w:rsidRPr="004C61F3">
              <w:rPr>
                <w:rStyle w:val="Bodytext211pt"/>
                <w:rFonts w:ascii="Sylfaen" w:hAnsi="Sylfaen"/>
                <w:sz w:val="20"/>
                <w:szCs w:val="20"/>
              </w:rPr>
              <w:t xml:space="preserve">Բնական մենաշնորհների կարգավորման ոլորտում անդամ պետությունների օրենսդրության ներդաշնակեցմանն ուղղված՝ Միության </w:t>
            </w:r>
            <w:r w:rsidR="00387D51" w:rsidRPr="004C61F3">
              <w:rPr>
                <w:rStyle w:val="Bodytext211pt"/>
                <w:rFonts w:ascii="Sylfaen" w:hAnsi="Sylfaen"/>
                <w:sz w:val="20"/>
                <w:szCs w:val="20"/>
              </w:rPr>
              <w:t>մարմինների</w:t>
            </w:r>
            <w:r w:rsidR="0096469A" w:rsidRPr="004C61F3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համաձայնեցված մոտեցումների մշակում </w:t>
            </w:r>
            <w:r w:rsidR="004C61F3" w:rsidRPr="004C61F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96469A" w:rsidRPr="004C61F3">
              <w:rPr>
                <w:rStyle w:val="Bodytext211pt"/>
                <w:rFonts w:ascii="Sylfaen" w:hAnsi="Sylfaen"/>
                <w:sz w:val="20"/>
                <w:szCs w:val="20"/>
              </w:rPr>
              <w:t xml:space="preserve"> ակտերի ընդունում՝ Բնական մենաշնորհների հարցերով խորհրդատվական կոմիտեի կողմից դրանք ուսումնասիրելուց հետո</w:t>
            </w:r>
          </w:p>
        </w:tc>
      </w:tr>
      <w:tr w:rsidR="0026185F" w:rsidRPr="004C61F3" w:rsidTr="00D76FC8">
        <w:trPr>
          <w:gridAfter w:val="1"/>
          <w:wAfter w:w="10" w:type="dxa"/>
        </w:trPr>
        <w:tc>
          <w:tcPr>
            <w:tcW w:w="6669" w:type="dxa"/>
            <w:shd w:val="clear" w:color="auto" w:fill="FFFFFF"/>
            <w:vAlign w:val="center"/>
          </w:tcPr>
          <w:p w:rsidR="0026185F" w:rsidRPr="004C61F3" w:rsidRDefault="00D76FC8" w:rsidP="00DF10AF">
            <w:pPr>
              <w:pStyle w:val="Bodytext20"/>
              <w:shd w:val="clear" w:color="auto" w:fill="auto"/>
              <w:tabs>
                <w:tab w:val="left" w:pos="543"/>
              </w:tabs>
              <w:spacing w:before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Ծառայությունները բնական մենաշնորհ</w:t>
            </w:r>
            <w:r w:rsidR="0096469A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ոլորտին դասելու, բնական մենաշնորհ</w:t>
            </w:r>
            <w:r w:rsidR="006901CA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սուբյեկտների գործունեության կարգավորման սահմանված սկզբունքներն ու կանոնները կիրառելու եւ բնական մենաշնորհ</w:t>
            </w:r>
            <w:r w:rsidR="006901CA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ոլորտում անդամ պետությունների օրենսդրության ներդաշնակեցումը գնահատելու դեպքում համաձայնեցված մոտեցումների ձեւավորմանն ուղղված առաջարկությունների նախապատրաստում՝ սույն պլանի I փուլում նախատեսված վերլուծության արդյունքների հիման վրա</w:t>
            </w:r>
          </w:p>
        </w:tc>
        <w:tc>
          <w:tcPr>
            <w:tcW w:w="3043" w:type="dxa"/>
            <w:gridSpan w:val="2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Մինչեւ 2020 թվականի հոկտեմբերի 1–ը</w:t>
            </w:r>
          </w:p>
        </w:tc>
        <w:tc>
          <w:tcPr>
            <w:tcW w:w="2420" w:type="dxa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830" w:type="dxa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լիազորված մարմինների հետ համաձայնեցված առաջարկություններ</w:t>
            </w:r>
          </w:p>
        </w:tc>
      </w:tr>
      <w:tr w:rsidR="0026185F" w:rsidRPr="004C61F3" w:rsidTr="00DF10AF">
        <w:trPr>
          <w:gridAfter w:val="1"/>
          <w:wAfter w:w="10" w:type="dxa"/>
        </w:trPr>
        <w:tc>
          <w:tcPr>
            <w:tcW w:w="6669" w:type="dxa"/>
            <w:shd w:val="clear" w:color="auto" w:fill="FFFFFF"/>
            <w:vAlign w:val="center"/>
          </w:tcPr>
          <w:p w:rsidR="0026185F" w:rsidRPr="004C61F3" w:rsidRDefault="00D76FC8" w:rsidP="00DF10AF">
            <w:pPr>
              <w:pStyle w:val="Bodytext20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Ծառայությունները բնական մենաշնորհ</w:t>
            </w:r>
            <w:r w:rsidR="006901CA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ոլորտին դասելու հիմնական չափանիշների եւ պայմանների վերաբերյալ</w:t>
            </w:r>
            <w:r w:rsidR="004C61F3" w:rsidRPr="004C61F3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հանձնարարականի ընդունում</w:t>
            </w:r>
          </w:p>
        </w:tc>
        <w:tc>
          <w:tcPr>
            <w:tcW w:w="3043" w:type="dxa"/>
            <w:gridSpan w:val="2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2021 թվականի I եռամսյակ</w:t>
            </w:r>
          </w:p>
        </w:tc>
        <w:tc>
          <w:tcPr>
            <w:tcW w:w="2420" w:type="dxa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830" w:type="dxa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Հանձնաժողովի հանձնարարական</w:t>
            </w:r>
          </w:p>
        </w:tc>
      </w:tr>
      <w:tr w:rsidR="0026185F" w:rsidRPr="004C61F3" w:rsidTr="00D76FC8">
        <w:trPr>
          <w:gridAfter w:val="1"/>
          <w:wAfter w:w="10" w:type="dxa"/>
        </w:trPr>
        <w:tc>
          <w:tcPr>
            <w:tcW w:w="6669" w:type="dxa"/>
            <w:shd w:val="clear" w:color="auto" w:fill="FFFFFF"/>
            <w:vAlign w:val="bottom"/>
          </w:tcPr>
          <w:p w:rsidR="0026185F" w:rsidRPr="004C61F3" w:rsidRDefault="00D76FC8" w:rsidP="00DF10AF">
            <w:pPr>
              <w:pStyle w:val="Bodytext20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Բնական մենաշնորհ</w:t>
            </w:r>
            <w:r w:rsidR="006901CA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ոլորտում անդամ պետությունների օրենսդրության ներդաշնակեցումը գնահատելու քանակական եւ որակական ցուցանիշների ընդունում</w:t>
            </w:r>
          </w:p>
        </w:tc>
        <w:tc>
          <w:tcPr>
            <w:tcW w:w="3043" w:type="dxa"/>
            <w:gridSpan w:val="2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2021 թվականի I եռամսյակ</w:t>
            </w:r>
          </w:p>
        </w:tc>
        <w:tc>
          <w:tcPr>
            <w:tcW w:w="2420" w:type="dxa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830" w:type="dxa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Հանձնաժողովի հանձնարարական</w:t>
            </w:r>
          </w:p>
        </w:tc>
      </w:tr>
      <w:tr w:rsidR="0026185F" w:rsidRPr="004C61F3" w:rsidTr="00DF10AF">
        <w:tc>
          <w:tcPr>
            <w:tcW w:w="6669" w:type="dxa"/>
            <w:shd w:val="clear" w:color="auto" w:fill="FFFFFF"/>
            <w:vAlign w:val="center"/>
          </w:tcPr>
          <w:p w:rsidR="0026185F" w:rsidRPr="004C61F3" w:rsidRDefault="00D76FC8" w:rsidP="00DF10AF">
            <w:pPr>
              <w:pStyle w:val="Bodytext20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Բնական մենաշնորհ</w:t>
            </w:r>
            <w:r w:rsidR="009B6FDA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սուբյեկտների գործունեության կարգավորման միասնական (անդամ պետությունների օրենսդրության մեջ ներառման համար հանձնարարվող) սկզբունքների ու կանոնների կիրառումն ապահովող հանձնարարականի ընդունում՝ հաշվի առնելով բնական մենաշնորհ</w:t>
            </w:r>
            <w:r w:rsidR="009B6FDA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ոլորտների առաձնահատկությունները</w:t>
            </w:r>
          </w:p>
        </w:tc>
        <w:tc>
          <w:tcPr>
            <w:tcW w:w="3043" w:type="dxa"/>
            <w:gridSpan w:val="2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2021 թվականի IV եռամսյակ</w:t>
            </w:r>
          </w:p>
        </w:tc>
        <w:tc>
          <w:tcPr>
            <w:tcW w:w="2420" w:type="dxa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848" w:type="dxa"/>
            <w:gridSpan w:val="2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left="18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Հանձնաժողովի հանձնարարական</w:t>
            </w:r>
          </w:p>
        </w:tc>
      </w:tr>
      <w:tr w:rsidR="0026185F" w:rsidRPr="004C61F3" w:rsidTr="00D76FC8">
        <w:tc>
          <w:tcPr>
            <w:tcW w:w="6669" w:type="dxa"/>
            <w:shd w:val="clear" w:color="auto" w:fill="FFFFFF"/>
          </w:tcPr>
          <w:p w:rsidR="0026185F" w:rsidRPr="004C61F3" w:rsidRDefault="00D76FC8" w:rsidP="00DF10AF">
            <w:pPr>
              <w:pStyle w:val="Bodytext20"/>
              <w:shd w:val="clear" w:color="auto" w:fill="auto"/>
              <w:tabs>
                <w:tab w:val="left" w:pos="561"/>
              </w:tabs>
              <w:spacing w:before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պետությունների՝ </w:t>
            </w:r>
            <w:r w:rsidR="00387D51" w:rsidRPr="004C61F3">
              <w:rPr>
                <w:rStyle w:val="Bodytext211pt"/>
                <w:rFonts w:ascii="Sylfaen" w:hAnsi="Sylfaen"/>
                <w:sz w:val="20"/>
                <w:szCs w:val="20"/>
              </w:rPr>
              <w:t xml:space="preserve">մոտարկման 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 xml:space="preserve">ենթակա նորմատիվ իրավական ակտերի ցանկի ընդունում (նորմերի եւ դրույթների նշմամբ) </w:t>
            </w:r>
          </w:p>
        </w:tc>
        <w:tc>
          <w:tcPr>
            <w:tcW w:w="3043" w:type="dxa"/>
            <w:gridSpan w:val="2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2021 թվականի IV եռամսյակ</w:t>
            </w:r>
          </w:p>
        </w:tc>
        <w:tc>
          <w:tcPr>
            <w:tcW w:w="2420" w:type="dxa"/>
            <w:shd w:val="clear" w:color="auto" w:fill="FFFFFF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848" w:type="dxa"/>
            <w:gridSpan w:val="2"/>
            <w:shd w:val="clear" w:color="auto" w:fill="FFFFFF"/>
            <w:vAlign w:val="center"/>
          </w:tcPr>
          <w:p w:rsidR="0026185F" w:rsidRPr="004C61F3" w:rsidRDefault="004D08BA" w:rsidP="00DF10A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նորմատիվ իրավական ակտերի ցանկի նախագիծ, Եվրասիական տնտեսական բարձրագույն խորհրդի որոշում</w:t>
            </w:r>
          </w:p>
        </w:tc>
      </w:tr>
      <w:tr w:rsidR="0026185F" w:rsidRPr="004C61F3" w:rsidTr="00D76FC8">
        <w:tc>
          <w:tcPr>
            <w:tcW w:w="14980" w:type="dxa"/>
            <w:gridSpan w:val="6"/>
            <w:shd w:val="clear" w:color="auto" w:fill="FFFFFF"/>
            <w:vAlign w:val="center"/>
          </w:tcPr>
          <w:p w:rsidR="0026185F" w:rsidRPr="004C61F3" w:rsidRDefault="004D08BA" w:rsidP="004C6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Փուլ III. Բնական մենաշնորհ</w:t>
            </w:r>
            <w:r w:rsidR="009B6FDA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ի ոլորտում անդամ պետությունների օրենսդրության ներդաշնակեցում</w:t>
            </w:r>
          </w:p>
        </w:tc>
      </w:tr>
      <w:tr w:rsidR="0026185F" w:rsidRPr="004C61F3" w:rsidTr="00D76FC8">
        <w:tc>
          <w:tcPr>
            <w:tcW w:w="6708" w:type="dxa"/>
            <w:gridSpan w:val="2"/>
            <w:shd w:val="clear" w:color="auto" w:fill="FFFFFF"/>
          </w:tcPr>
          <w:p w:rsidR="0026185F" w:rsidRPr="004C61F3" w:rsidRDefault="00D76FC8" w:rsidP="00D76FC8">
            <w:pPr>
              <w:pStyle w:val="Bodytext20"/>
              <w:shd w:val="clear" w:color="auto" w:fill="auto"/>
              <w:tabs>
                <w:tab w:val="left" w:pos="561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Սույն պլանի II փուլում նախատեսված՝ Միության մարմինների ակտերի իրագործում անդամ պետությունների կողմից </w:t>
            </w:r>
          </w:p>
        </w:tc>
        <w:tc>
          <w:tcPr>
            <w:tcW w:w="3004" w:type="dxa"/>
            <w:shd w:val="clear" w:color="auto" w:fill="FFFFFF"/>
            <w:vAlign w:val="center"/>
          </w:tcPr>
          <w:p w:rsidR="0026185F" w:rsidRPr="004C61F3" w:rsidRDefault="004D08BA" w:rsidP="00D76FC8">
            <w:pPr>
              <w:pStyle w:val="Bodytext20"/>
              <w:shd w:val="clear" w:color="auto" w:fill="auto"/>
              <w:spacing w:before="0" w:after="120" w:line="240" w:lineRule="auto"/>
              <w:ind w:right="11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կողմից սահմանված ժամկետներին համապատասխան</w:t>
            </w:r>
          </w:p>
        </w:tc>
        <w:tc>
          <w:tcPr>
            <w:tcW w:w="2420" w:type="dxa"/>
            <w:shd w:val="clear" w:color="auto" w:fill="FFFFFF"/>
          </w:tcPr>
          <w:p w:rsidR="0026185F" w:rsidRPr="004C61F3" w:rsidRDefault="004D08BA" w:rsidP="004C6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  <w:tc>
          <w:tcPr>
            <w:tcW w:w="2848" w:type="dxa"/>
            <w:gridSpan w:val="2"/>
            <w:shd w:val="clear" w:color="auto" w:fill="FFFFFF"/>
          </w:tcPr>
          <w:p w:rsidR="0026185F" w:rsidRPr="004C61F3" w:rsidRDefault="004D08BA" w:rsidP="00D76FC8">
            <w:pPr>
              <w:pStyle w:val="Bodytext20"/>
              <w:shd w:val="clear" w:color="auto" w:fill="auto"/>
              <w:spacing w:before="0" w:after="120" w:line="240" w:lineRule="auto"/>
              <w:ind w:right="7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նորմատիվ իրավական ակտեր</w:t>
            </w:r>
          </w:p>
        </w:tc>
      </w:tr>
      <w:tr w:rsidR="0026185F" w:rsidRPr="004C61F3" w:rsidTr="00D76FC8">
        <w:tc>
          <w:tcPr>
            <w:tcW w:w="6708" w:type="dxa"/>
            <w:gridSpan w:val="2"/>
            <w:shd w:val="clear" w:color="auto" w:fill="FFFFFF"/>
            <w:vAlign w:val="bottom"/>
          </w:tcPr>
          <w:p w:rsidR="0026185F" w:rsidRPr="004C61F3" w:rsidRDefault="00D76FC8" w:rsidP="00D76FC8">
            <w:pPr>
              <w:pStyle w:val="Bodytext20"/>
              <w:shd w:val="clear" w:color="auto" w:fill="auto"/>
              <w:tabs>
                <w:tab w:val="left" w:pos="561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Բնական մենաշնորհ</w:t>
            </w:r>
            <w:r w:rsidR="009B6FDA" w:rsidRPr="004C61F3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="004D08BA" w:rsidRPr="004C61F3">
              <w:rPr>
                <w:rStyle w:val="Bodytext211pt"/>
                <w:rFonts w:ascii="Sylfaen" w:hAnsi="Sylfaen"/>
                <w:sz w:val="20"/>
                <w:szCs w:val="20"/>
              </w:rPr>
              <w:t>ի ոլորտում անդամ պետությունների օրենսդրության ներդաշնակեցման մասին Եվրասիական տնտեսական բարձրագույն խորհրդի որոշումն անդամ պետությունների կողմից կատարվելու նկատմամբ դիտանցում</w:t>
            </w:r>
          </w:p>
        </w:tc>
        <w:tc>
          <w:tcPr>
            <w:tcW w:w="3004" w:type="dxa"/>
            <w:shd w:val="clear" w:color="auto" w:fill="FFFFFF"/>
            <w:vAlign w:val="bottom"/>
          </w:tcPr>
          <w:p w:rsidR="0026185F" w:rsidRPr="004C61F3" w:rsidRDefault="004D08BA" w:rsidP="00D76FC8">
            <w:pPr>
              <w:pStyle w:val="Bodytext20"/>
              <w:shd w:val="clear" w:color="auto" w:fill="auto"/>
              <w:spacing w:before="0" w:after="120" w:line="240" w:lineRule="auto"/>
              <w:ind w:right="11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բարձրագույն խորհրդի կողմից սահմանված ժամկետներին համապատասխան</w:t>
            </w:r>
          </w:p>
        </w:tc>
        <w:tc>
          <w:tcPr>
            <w:tcW w:w="2420" w:type="dxa"/>
            <w:shd w:val="clear" w:color="auto" w:fill="FFFFFF"/>
          </w:tcPr>
          <w:p w:rsidR="0026185F" w:rsidRPr="004C61F3" w:rsidRDefault="004D08BA" w:rsidP="004C6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848" w:type="dxa"/>
            <w:gridSpan w:val="2"/>
            <w:shd w:val="clear" w:color="auto" w:fill="FFFFFF"/>
          </w:tcPr>
          <w:p w:rsidR="0026185F" w:rsidRPr="004C61F3" w:rsidRDefault="004D08BA" w:rsidP="00D76FC8">
            <w:pPr>
              <w:pStyle w:val="Bodytext20"/>
              <w:shd w:val="clear" w:color="auto" w:fill="auto"/>
              <w:spacing w:before="0" w:after="120" w:line="240" w:lineRule="auto"/>
              <w:ind w:right="7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4C61F3">
              <w:rPr>
                <w:rStyle w:val="Bodytext211pt"/>
                <w:rFonts w:ascii="Sylfaen" w:hAnsi="Sylfaen"/>
                <w:sz w:val="20"/>
                <w:szCs w:val="20"/>
              </w:rPr>
              <w:t>վերլուծական հաշվետվություն</w:t>
            </w:r>
          </w:p>
        </w:tc>
      </w:tr>
    </w:tbl>
    <w:p w:rsidR="0026185F" w:rsidRDefault="0026185F" w:rsidP="004C61F3">
      <w:pPr>
        <w:spacing w:after="160" w:line="360" w:lineRule="auto"/>
        <w:rPr>
          <w:rFonts w:ascii="Sylfaen" w:hAnsi="Sylfaen"/>
        </w:rPr>
      </w:pPr>
    </w:p>
    <w:p w:rsidR="00D76FC8" w:rsidRDefault="00D76FC8" w:rsidP="004C61F3">
      <w:pPr>
        <w:spacing w:after="160" w:line="360" w:lineRule="auto"/>
        <w:rPr>
          <w:rFonts w:ascii="Sylfaen" w:hAnsi="Sylfaen"/>
        </w:rPr>
      </w:pPr>
    </w:p>
    <w:p w:rsidR="00D76FC8" w:rsidRPr="004C61F3" w:rsidRDefault="00D76FC8" w:rsidP="00D76FC8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</w:rPr>
        <w:t>————————</w:t>
      </w:r>
    </w:p>
    <w:sectPr w:rsidR="00D76FC8" w:rsidRPr="004C61F3" w:rsidSect="00DF10AF">
      <w:footerReference w:type="default" r:id="rId9"/>
      <w:pgSz w:w="16840" w:h="11907" w:code="9"/>
      <w:pgMar w:top="1418" w:right="1418" w:bottom="1418" w:left="1418" w:header="0" w:footer="79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61" w:rsidRDefault="00331A61" w:rsidP="0026185F">
      <w:r>
        <w:separator/>
      </w:r>
    </w:p>
  </w:endnote>
  <w:endnote w:type="continuationSeparator" w:id="0">
    <w:p w:rsidR="00331A61" w:rsidRDefault="00331A61" w:rsidP="0026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5430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D32E56" w:rsidRPr="00DF10AF" w:rsidRDefault="00D32E56">
        <w:pPr>
          <w:pStyle w:val="Footer"/>
          <w:jc w:val="center"/>
          <w:rPr>
            <w:rFonts w:ascii="Sylfaen" w:hAnsi="Sylfaen"/>
          </w:rPr>
        </w:pPr>
        <w:r w:rsidRPr="00DF10AF">
          <w:rPr>
            <w:rFonts w:ascii="Sylfaen" w:hAnsi="Sylfaen"/>
          </w:rPr>
          <w:fldChar w:fldCharType="begin"/>
        </w:r>
        <w:r w:rsidRPr="00DF10AF">
          <w:rPr>
            <w:rFonts w:ascii="Sylfaen" w:hAnsi="Sylfaen"/>
          </w:rPr>
          <w:instrText xml:space="preserve"> PAGE   \* MERGEFORMAT </w:instrText>
        </w:r>
        <w:r w:rsidRPr="00DF10AF">
          <w:rPr>
            <w:rFonts w:ascii="Sylfaen" w:hAnsi="Sylfaen"/>
          </w:rPr>
          <w:fldChar w:fldCharType="separate"/>
        </w:r>
        <w:r w:rsidR="00927718">
          <w:rPr>
            <w:rFonts w:ascii="Sylfaen" w:hAnsi="Sylfaen"/>
            <w:noProof/>
          </w:rPr>
          <w:t>3</w:t>
        </w:r>
        <w:r w:rsidRPr="00DF10AF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61" w:rsidRDefault="00331A61"/>
  </w:footnote>
  <w:footnote w:type="continuationSeparator" w:id="0">
    <w:p w:rsidR="00331A61" w:rsidRDefault="00331A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44ACB"/>
    <w:multiLevelType w:val="multilevel"/>
    <w:tmpl w:val="3B1E5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6185F"/>
    <w:rsid w:val="00041F4A"/>
    <w:rsid w:val="000C27CF"/>
    <w:rsid w:val="000F0818"/>
    <w:rsid w:val="00105143"/>
    <w:rsid w:val="001B73DC"/>
    <w:rsid w:val="001F6243"/>
    <w:rsid w:val="0026185F"/>
    <w:rsid w:val="002900BB"/>
    <w:rsid w:val="002C157B"/>
    <w:rsid w:val="002C6C2F"/>
    <w:rsid w:val="00315E6C"/>
    <w:rsid w:val="00331A61"/>
    <w:rsid w:val="0035383B"/>
    <w:rsid w:val="00387D51"/>
    <w:rsid w:val="00433461"/>
    <w:rsid w:val="00495E23"/>
    <w:rsid w:val="00497374"/>
    <w:rsid w:val="004C61F3"/>
    <w:rsid w:val="004D08BA"/>
    <w:rsid w:val="006038AC"/>
    <w:rsid w:val="0065312A"/>
    <w:rsid w:val="00677A35"/>
    <w:rsid w:val="006901CA"/>
    <w:rsid w:val="0074036B"/>
    <w:rsid w:val="00892345"/>
    <w:rsid w:val="00927718"/>
    <w:rsid w:val="00931C6D"/>
    <w:rsid w:val="0096469A"/>
    <w:rsid w:val="009979F2"/>
    <w:rsid w:val="009B6FDA"/>
    <w:rsid w:val="00A202F7"/>
    <w:rsid w:val="00AB2741"/>
    <w:rsid w:val="00AD30C4"/>
    <w:rsid w:val="00AE20C8"/>
    <w:rsid w:val="00AE3A66"/>
    <w:rsid w:val="00AF2F46"/>
    <w:rsid w:val="00BF7E47"/>
    <w:rsid w:val="00C9050F"/>
    <w:rsid w:val="00CF0903"/>
    <w:rsid w:val="00D32E56"/>
    <w:rsid w:val="00D76FC8"/>
    <w:rsid w:val="00DF10AF"/>
    <w:rsid w:val="00E37757"/>
    <w:rsid w:val="00E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185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185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6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26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26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26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61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261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261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3">
    <w:name w:val="Body text (2)"/>
    <w:basedOn w:val="Bodytext2"/>
    <w:rsid w:val="00261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26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26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261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6185F"/>
    <w:pPr>
      <w:shd w:val="clear" w:color="auto" w:fill="FFFFFF"/>
      <w:spacing w:before="42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26185F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2618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26185F"/>
    <w:pPr>
      <w:shd w:val="clear" w:color="auto" w:fill="FFFFFF"/>
      <w:spacing w:before="300" w:line="518" w:lineRule="exac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26185F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12pt">
    <w:name w:val="Body text (2) + 12 pt"/>
    <w:aliases w:val="Spacing -1 pt"/>
    <w:basedOn w:val="Bodytext2"/>
    <w:rsid w:val="00AB27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D51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6FC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FC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6FC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FC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0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16268-BE55-454C-9554-06306105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 Markarov</dc:creator>
  <cp:lastModifiedBy>Lusine Khazarian</cp:lastModifiedBy>
  <cp:revision>15</cp:revision>
  <dcterms:created xsi:type="dcterms:W3CDTF">2018-05-07T11:02:00Z</dcterms:created>
  <dcterms:modified xsi:type="dcterms:W3CDTF">2018-09-06T11:56:00Z</dcterms:modified>
</cp:coreProperties>
</file>