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27A" w:rsidRPr="00884C45" w:rsidRDefault="00BF727A" w:rsidP="00884C45">
      <w:pPr>
        <w:spacing w:after="160" w:line="360" w:lineRule="auto"/>
        <w:ind w:left="5670"/>
        <w:jc w:val="center"/>
        <w:rPr>
          <w:rFonts w:ascii="Sylfaen" w:hAnsi="Sylfaen"/>
          <w:sz w:val="24"/>
          <w:szCs w:val="24"/>
          <w:lang w:val="hy-AM"/>
        </w:rPr>
      </w:pPr>
      <w:r w:rsidRPr="00884C45">
        <w:rPr>
          <w:rFonts w:ascii="Sylfaen" w:hAnsi="Sylfaen"/>
          <w:sz w:val="24"/>
          <w:szCs w:val="24"/>
          <w:lang w:val="hy-AM"/>
        </w:rPr>
        <w:t>ՀԱՍՏԱՏՎԱԾ Է</w:t>
      </w:r>
    </w:p>
    <w:p w:rsidR="00BF727A" w:rsidRDefault="00BF727A" w:rsidP="00884C45">
      <w:pPr>
        <w:spacing w:after="160" w:line="360" w:lineRule="auto"/>
        <w:ind w:left="5670"/>
        <w:jc w:val="center"/>
        <w:rPr>
          <w:rFonts w:ascii="Sylfaen" w:hAnsi="Sylfaen"/>
          <w:sz w:val="24"/>
          <w:szCs w:val="24"/>
          <w:lang w:val="hy-AM"/>
        </w:rPr>
      </w:pPr>
      <w:r w:rsidRPr="00884C45">
        <w:rPr>
          <w:rFonts w:ascii="Sylfaen" w:hAnsi="Sylfaen"/>
          <w:sz w:val="24"/>
          <w:szCs w:val="24"/>
          <w:lang w:val="hy-AM"/>
        </w:rPr>
        <w:t>Եվրասիական տնտեսական հանձնաժողովի կոլեգիայի</w:t>
      </w:r>
      <w:r w:rsidR="00734F35" w:rsidRPr="00884C45">
        <w:rPr>
          <w:rFonts w:ascii="Sylfaen" w:hAnsi="Sylfaen"/>
          <w:sz w:val="24"/>
          <w:szCs w:val="24"/>
          <w:lang w:val="hy-AM"/>
        </w:rPr>
        <w:t xml:space="preserve"> </w:t>
      </w:r>
      <w:r w:rsidR="00884C45">
        <w:rPr>
          <w:rFonts w:ascii="Sylfaen" w:hAnsi="Sylfaen"/>
          <w:sz w:val="24"/>
          <w:szCs w:val="24"/>
          <w:lang w:val="hy-AM"/>
        </w:rPr>
        <w:br/>
      </w:r>
      <w:r w:rsidRPr="00884C45">
        <w:rPr>
          <w:rFonts w:ascii="Sylfaen" w:hAnsi="Sylfaen"/>
          <w:sz w:val="24"/>
          <w:szCs w:val="24"/>
          <w:lang w:val="hy-AM"/>
        </w:rPr>
        <w:t xml:space="preserve">2016 թվականի հունիսի 7-ի </w:t>
      </w:r>
      <w:r w:rsidR="00884C45">
        <w:rPr>
          <w:rFonts w:ascii="Sylfaen" w:hAnsi="Sylfaen"/>
          <w:sz w:val="24"/>
          <w:szCs w:val="24"/>
          <w:lang w:val="hy-AM"/>
        </w:rPr>
        <w:br/>
      </w:r>
      <w:r w:rsidRPr="00884C45">
        <w:rPr>
          <w:rFonts w:ascii="Sylfaen" w:hAnsi="Sylfaen"/>
          <w:sz w:val="24"/>
          <w:szCs w:val="24"/>
          <w:lang w:val="hy-AM"/>
        </w:rPr>
        <w:t>թիվ 68 որոշմամբ</w:t>
      </w:r>
    </w:p>
    <w:p w:rsidR="00884C45" w:rsidRPr="00884C45" w:rsidRDefault="00884C45" w:rsidP="00884C45">
      <w:pPr>
        <w:spacing w:after="160" w:line="360" w:lineRule="auto"/>
        <w:ind w:left="4536"/>
        <w:jc w:val="center"/>
        <w:rPr>
          <w:rFonts w:ascii="Sylfaen" w:hAnsi="Sylfaen"/>
          <w:sz w:val="24"/>
          <w:szCs w:val="24"/>
          <w:lang w:val="hy-AM"/>
        </w:rPr>
      </w:pPr>
    </w:p>
    <w:p w:rsidR="00BF727A" w:rsidRPr="00884C45" w:rsidRDefault="00BF727A" w:rsidP="00884C45">
      <w:pPr>
        <w:spacing w:after="160" w:line="360" w:lineRule="auto"/>
        <w:ind w:left="567" w:right="566"/>
        <w:jc w:val="center"/>
        <w:rPr>
          <w:rFonts w:ascii="Sylfaen" w:hAnsi="Sylfaen"/>
          <w:b/>
          <w:sz w:val="24"/>
          <w:szCs w:val="24"/>
          <w:lang w:val="hy-AM"/>
        </w:rPr>
      </w:pPr>
      <w:r w:rsidRPr="00884C45">
        <w:rPr>
          <w:rFonts w:ascii="Sylfaen" w:hAnsi="Sylfaen"/>
          <w:b/>
          <w:sz w:val="24"/>
          <w:szCs w:val="24"/>
          <w:lang w:val="hy-AM"/>
        </w:rPr>
        <w:t>ԿԱՐԳ</w:t>
      </w:r>
    </w:p>
    <w:p w:rsidR="00BF727A" w:rsidRDefault="00BF727A" w:rsidP="00884C45">
      <w:pPr>
        <w:spacing w:after="160" w:line="360" w:lineRule="auto"/>
        <w:ind w:left="567" w:right="566"/>
        <w:jc w:val="center"/>
        <w:rPr>
          <w:rFonts w:ascii="Sylfaen" w:hAnsi="Sylfaen"/>
          <w:b/>
          <w:sz w:val="24"/>
          <w:szCs w:val="24"/>
          <w:lang w:val="hy-AM"/>
        </w:rPr>
      </w:pPr>
      <w:r w:rsidRPr="00884C45">
        <w:rPr>
          <w:rFonts w:ascii="Sylfaen" w:hAnsi="Sylfaen"/>
          <w:b/>
          <w:sz w:val="24"/>
          <w:szCs w:val="24"/>
          <w:lang w:val="hy-AM"/>
        </w:rPr>
        <w:t>որպես չափումների հղումային մեթոդիկա (մեթոդ) կիրառվող՝ չափումների մեթոդիկայի (մեթոդի) վկայագրման</w:t>
      </w:r>
    </w:p>
    <w:p w:rsidR="00884C45" w:rsidRPr="00884C45" w:rsidRDefault="00884C45" w:rsidP="00884C45">
      <w:pPr>
        <w:spacing w:after="160" w:line="360" w:lineRule="auto"/>
        <w:jc w:val="center"/>
        <w:rPr>
          <w:rFonts w:ascii="Sylfaen" w:hAnsi="Sylfaen"/>
          <w:b/>
          <w:sz w:val="24"/>
          <w:szCs w:val="24"/>
          <w:lang w:val="hy-AM"/>
        </w:rPr>
      </w:pPr>
    </w:p>
    <w:p w:rsidR="00BF727A" w:rsidRPr="00884C45" w:rsidRDefault="00BF727A" w:rsidP="00884C45">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1.</w:t>
      </w:r>
      <w:r w:rsidR="00884C45">
        <w:rPr>
          <w:rFonts w:ascii="Sylfaen" w:hAnsi="Sylfaen"/>
          <w:sz w:val="24"/>
          <w:szCs w:val="24"/>
          <w:lang w:val="hy-AM"/>
        </w:rPr>
        <w:tab/>
      </w:r>
      <w:r w:rsidRPr="00884C45">
        <w:rPr>
          <w:rFonts w:ascii="Sylfaen" w:hAnsi="Sylfaen"/>
          <w:sz w:val="24"/>
          <w:szCs w:val="24"/>
          <w:lang w:val="hy-AM"/>
        </w:rPr>
        <w:t xml:space="preserve">Սույն </w:t>
      </w:r>
      <w:r w:rsidR="00E276F6" w:rsidRPr="00884C45">
        <w:rPr>
          <w:rFonts w:ascii="Sylfaen" w:hAnsi="Sylfaen"/>
          <w:sz w:val="24"/>
          <w:szCs w:val="24"/>
          <w:lang w:val="hy-AM"/>
        </w:rPr>
        <w:t>կ</w:t>
      </w:r>
      <w:r w:rsidRPr="00884C45">
        <w:rPr>
          <w:rFonts w:ascii="Sylfaen" w:hAnsi="Sylfaen"/>
          <w:sz w:val="24"/>
          <w:szCs w:val="24"/>
          <w:lang w:val="hy-AM"/>
        </w:rPr>
        <w:t xml:space="preserve">արգը մշակվել է «Չափումների միասնականության ապահովման ոլորտում համաձայնեցված քաղաքականություն անցկացնելու մասին» արձանագրության («Եվրասիական տնտեսական միության մասին» 2014 թվականի մայիսի 29-ի պայմանագրի թիվ 10 հավելված) 9-րդ կետի 3-րդ ենթակետին համապատասխան </w:t>
      </w:r>
      <w:r w:rsidR="004C0281">
        <w:rPr>
          <w:rFonts w:ascii="Sylfaen" w:hAnsi="Sylfaen"/>
          <w:sz w:val="24"/>
          <w:szCs w:val="24"/>
          <w:lang w:val="hy-AM"/>
        </w:rPr>
        <w:t>և</w:t>
      </w:r>
      <w:r w:rsidRPr="00884C45">
        <w:rPr>
          <w:rFonts w:ascii="Sylfaen" w:hAnsi="Sylfaen"/>
          <w:sz w:val="24"/>
          <w:szCs w:val="24"/>
          <w:lang w:val="hy-AM"/>
        </w:rPr>
        <w:t xml:space="preserve"> սահմանում է Եվրասիական տնտեսական միության անդամ պետություններում որպես չափումների հղումային մեթոդիկա (մեթոդ) կիրառվող՝ չափումների մեթոդիկայի (մեթոդի) վկայագրման կանոնները (այսուհետ համապատասխանաբար՝ հղումային մեթոդիկայի վկայագրում, հղումային մեթոդիկա, անդամ պետություններ, Միություն)։</w:t>
      </w:r>
    </w:p>
    <w:p w:rsidR="00BF727A" w:rsidRPr="00884C45" w:rsidRDefault="00BF727A" w:rsidP="00884C45">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2.</w:t>
      </w:r>
      <w:r w:rsidR="00884C45">
        <w:rPr>
          <w:rFonts w:ascii="Sylfaen" w:hAnsi="Sylfaen"/>
          <w:sz w:val="24"/>
          <w:szCs w:val="24"/>
          <w:lang w:val="hy-AM"/>
        </w:rPr>
        <w:tab/>
      </w:r>
      <w:r w:rsidRPr="00884C45">
        <w:rPr>
          <w:rFonts w:ascii="Sylfaen" w:hAnsi="Sylfaen"/>
          <w:sz w:val="24"/>
          <w:szCs w:val="24"/>
          <w:lang w:val="hy-AM"/>
        </w:rPr>
        <w:t xml:space="preserve">Սույն </w:t>
      </w:r>
      <w:r w:rsidR="00E276F6" w:rsidRPr="00884C45">
        <w:rPr>
          <w:rFonts w:ascii="Sylfaen" w:hAnsi="Sylfaen"/>
          <w:sz w:val="24"/>
          <w:szCs w:val="24"/>
          <w:lang w:val="hy-AM"/>
        </w:rPr>
        <w:t>կ</w:t>
      </w:r>
      <w:r w:rsidRPr="00884C45">
        <w:rPr>
          <w:rFonts w:ascii="Sylfaen" w:hAnsi="Sylfaen"/>
          <w:sz w:val="24"/>
          <w:szCs w:val="24"/>
          <w:lang w:val="hy-AM"/>
        </w:rPr>
        <w:t>արգի նպատակներով չափումների առաջնային հղումային մեթոդիկա (մեթոդ) ասելով՝ հասկացվում է չափումների այնպիսի մեթոդիկա (</w:t>
      </w:r>
      <w:r w:rsidRPr="00884C45">
        <w:rPr>
          <w:rFonts w:ascii="Sylfaen" w:hAnsi="Sylfaen"/>
          <w:spacing w:val="-4"/>
          <w:sz w:val="24"/>
          <w:szCs w:val="24"/>
          <w:lang w:val="hy-AM"/>
        </w:rPr>
        <w:t>մեթոդ), որն անդամ պետությունում ամենաբարձր ճշգրտությամբ</w:t>
      </w:r>
      <w:r w:rsidRPr="00884C45">
        <w:rPr>
          <w:rFonts w:ascii="Sylfaen" w:hAnsi="Sylfaen"/>
          <w:sz w:val="24"/>
          <w:szCs w:val="24"/>
          <w:lang w:val="hy-AM"/>
        </w:rPr>
        <w:t xml:space="preserve"> իրականացվում է 1 լրակազմով սարքավորմամբ միակ իրավաբանական անձի կողմից, կիրառվում է մի</w:t>
      </w:r>
      <w:r w:rsidR="004C0281">
        <w:rPr>
          <w:rFonts w:ascii="Sylfaen" w:hAnsi="Sylfaen"/>
          <w:sz w:val="24"/>
          <w:szCs w:val="24"/>
          <w:lang w:val="hy-AM"/>
        </w:rPr>
        <w:t>և</w:t>
      </w:r>
      <w:r w:rsidRPr="00884C45">
        <w:rPr>
          <w:rFonts w:ascii="Sylfaen" w:hAnsi="Sylfaen"/>
          <w:sz w:val="24"/>
          <w:szCs w:val="24"/>
          <w:lang w:val="hy-AM"/>
        </w:rPr>
        <w:t>նույն, այդ թվում՝ հղումային մեծությունների չափումների այլ մեթոդիկաների (մեթոդների) օգտագործմամբ ստացված չափումների արդյունքների ճշտությունը գնահատելու համար, թույլ է տալիս չափումների արդյունքներն ստանալ՝ առանց մի</w:t>
      </w:r>
      <w:r w:rsidR="004C0281">
        <w:rPr>
          <w:rFonts w:ascii="Sylfaen" w:hAnsi="Sylfaen"/>
          <w:sz w:val="24"/>
          <w:szCs w:val="24"/>
          <w:lang w:val="hy-AM"/>
        </w:rPr>
        <w:t>և</w:t>
      </w:r>
      <w:r w:rsidRPr="00884C45">
        <w:rPr>
          <w:rFonts w:ascii="Sylfaen" w:hAnsi="Sylfaen"/>
          <w:sz w:val="24"/>
          <w:szCs w:val="24"/>
          <w:lang w:val="hy-AM"/>
        </w:rPr>
        <w:t xml:space="preserve">նույն տեսակի մեծությունների միավորների նկատմամբ չափագիտական </w:t>
      </w:r>
      <w:r w:rsidRPr="00884C45">
        <w:rPr>
          <w:rFonts w:ascii="Sylfaen" w:hAnsi="Sylfaen"/>
          <w:sz w:val="24"/>
          <w:szCs w:val="24"/>
          <w:lang w:val="hy-AM"/>
        </w:rPr>
        <w:lastRenderedPageBreak/>
        <w:t>հետ</w:t>
      </w:r>
      <w:r w:rsidR="004C0281">
        <w:rPr>
          <w:rFonts w:ascii="Sylfaen" w:hAnsi="Sylfaen"/>
          <w:sz w:val="24"/>
          <w:szCs w:val="24"/>
          <w:lang w:val="hy-AM"/>
        </w:rPr>
        <w:t>և</w:t>
      </w:r>
      <w:r w:rsidRPr="00884C45">
        <w:rPr>
          <w:rFonts w:ascii="Sylfaen" w:hAnsi="Sylfaen"/>
          <w:sz w:val="24"/>
          <w:szCs w:val="24"/>
          <w:lang w:val="hy-AM"/>
        </w:rPr>
        <w:t xml:space="preserve">ելիության, </w:t>
      </w:r>
      <w:bookmarkStart w:id="0" w:name="_GoBack"/>
      <w:r w:rsidR="004C0281">
        <w:rPr>
          <w:rFonts w:ascii="Sylfaen" w:hAnsi="Sylfaen"/>
          <w:sz w:val="24"/>
          <w:szCs w:val="24"/>
          <w:lang w:val="hy-AM"/>
        </w:rPr>
        <w:t>և</w:t>
      </w:r>
      <w:bookmarkEnd w:id="0"/>
      <w:r w:rsidRPr="00884C45">
        <w:rPr>
          <w:rFonts w:ascii="Sylfaen" w:hAnsi="Sylfaen"/>
          <w:sz w:val="24"/>
          <w:szCs w:val="24"/>
          <w:lang w:val="hy-AM"/>
        </w:rPr>
        <w:t xml:space="preserve"> հաստատված է անդամ պետության օրենսդրությանը համապատասխան՝ որպես անդամ պետությունում կիրառվող առաջնային հղումային մեթոդիկա (մեթոդ):</w:t>
      </w:r>
    </w:p>
    <w:p w:rsidR="00BF727A" w:rsidRPr="00884C45" w:rsidRDefault="00BF727A" w:rsidP="00884C45">
      <w:pPr>
        <w:spacing w:after="160" w:line="360" w:lineRule="auto"/>
        <w:ind w:firstLine="567"/>
        <w:jc w:val="both"/>
        <w:rPr>
          <w:rFonts w:ascii="Sylfaen" w:hAnsi="Sylfaen"/>
          <w:sz w:val="24"/>
          <w:szCs w:val="24"/>
          <w:lang w:val="hy-AM"/>
        </w:rPr>
      </w:pPr>
      <w:r w:rsidRPr="00884C45">
        <w:rPr>
          <w:rFonts w:ascii="Sylfaen" w:hAnsi="Sylfaen"/>
          <w:sz w:val="24"/>
          <w:szCs w:val="24"/>
          <w:lang w:val="hy-AM"/>
        </w:rPr>
        <w:t xml:space="preserve">Սույն </w:t>
      </w:r>
      <w:r w:rsidR="00E276F6" w:rsidRPr="00884C45">
        <w:rPr>
          <w:rFonts w:ascii="Sylfaen" w:hAnsi="Sylfaen"/>
          <w:sz w:val="24"/>
          <w:szCs w:val="24"/>
          <w:lang w:val="hy-AM"/>
        </w:rPr>
        <w:t>կ</w:t>
      </w:r>
      <w:r w:rsidRPr="00884C45">
        <w:rPr>
          <w:rFonts w:ascii="Sylfaen" w:hAnsi="Sylfaen"/>
          <w:sz w:val="24"/>
          <w:szCs w:val="24"/>
          <w:lang w:val="hy-AM"/>
        </w:rPr>
        <w:t>արգում օգտագործվող այլ հասկացություններ կիրառվում են «Չափումների միասնականության ապահովման ոլորտում համաձայնեցված քաղաքականություն անցկացնելու մասին» արձանագրությամբ («Եվրասիական տնտեսական միության մասին» 2014 թվականի մայիսի 29-ի պայմանագրի թիվ 10 հավելված) սահմանված իմաստներով:</w:t>
      </w:r>
    </w:p>
    <w:p w:rsidR="00BF727A" w:rsidRPr="00884C45" w:rsidRDefault="00BF727A" w:rsidP="00884C45">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3.</w:t>
      </w:r>
      <w:r w:rsidR="00884C45">
        <w:rPr>
          <w:rFonts w:ascii="Sylfaen" w:hAnsi="Sylfaen"/>
          <w:sz w:val="24"/>
          <w:szCs w:val="24"/>
          <w:lang w:val="hy-AM"/>
        </w:rPr>
        <w:tab/>
      </w:r>
      <w:r w:rsidRPr="00884C45">
        <w:rPr>
          <w:rFonts w:ascii="Sylfaen" w:hAnsi="Sylfaen"/>
          <w:sz w:val="24"/>
          <w:szCs w:val="24"/>
          <w:lang w:val="hy-AM"/>
        </w:rPr>
        <w:t>Հղումային մեթոդիկայի վկայագրումն անցկացվում է չափումների վերամշակված մեթոդիկայի (մեթոդի) կամ Եվրասիական տնտեսական հանձնաժողովի կողմից հաստատվող՝ չափումների մեթոդիկայի (մեթոդի) չափագիտական վկայագրման կարգին համապատասխան վկայագրված չափումների մեթոդիկայի (մեթոդի) մասով (այսուհետ համապատասխանաբար՝ չափագիտական վկայագրում, Հանձնաժողով):</w:t>
      </w:r>
    </w:p>
    <w:p w:rsidR="00BF727A" w:rsidRPr="00884C45" w:rsidRDefault="00BF727A" w:rsidP="00475202">
      <w:pPr>
        <w:tabs>
          <w:tab w:val="left" w:pos="1134"/>
        </w:tabs>
        <w:spacing w:after="160" w:line="336" w:lineRule="auto"/>
        <w:ind w:firstLine="567"/>
        <w:jc w:val="both"/>
        <w:rPr>
          <w:rFonts w:ascii="Sylfaen" w:hAnsi="Sylfaen"/>
          <w:sz w:val="24"/>
          <w:szCs w:val="24"/>
          <w:lang w:val="hy-AM"/>
        </w:rPr>
      </w:pPr>
      <w:r w:rsidRPr="00884C45">
        <w:rPr>
          <w:rFonts w:ascii="Sylfaen" w:hAnsi="Sylfaen"/>
          <w:sz w:val="24"/>
          <w:szCs w:val="24"/>
          <w:lang w:val="hy-AM"/>
        </w:rPr>
        <w:t>4.</w:t>
      </w:r>
      <w:r w:rsidR="00884C45">
        <w:rPr>
          <w:rFonts w:ascii="Sylfaen" w:hAnsi="Sylfaen"/>
          <w:sz w:val="24"/>
          <w:szCs w:val="24"/>
          <w:lang w:val="hy-AM"/>
        </w:rPr>
        <w:tab/>
      </w:r>
      <w:r w:rsidRPr="00884C45">
        <w:rPr>
          <w:rFonts w:ascii="Sylfaen" w:hAnsi="Sylfaen"/>
          <w:sz w:val="24"/>
          <w:szCs w:val="24"/>
          <w:lang w:val="hy-AM"/>
        </w:rPr>
        <w:t xml:space="preserve">Հղումային մեթոդիկայի վկայագրումն անցկացվում է անդամ պետության օրենսդրությանը համապատասխան անդամ պետությունում համապատասխան տեսակի չափումների մասով բարձրագույն ճշգրտությամբ մեծությունների միավորների </w:t>
      </w:r>
      <w:r w:rsidR="004C0281">
        <w:rPr>
          <w:rFonts w:ascii="Sylfaen" w:hAnsi="Sylfaen"/>
          <w:sz w:val="24"/>
          <w:szCs w:val="24"/>
          <w:lang w:val="hy-AM"/>
        </w:rPr>
        <w:t>և</w:t>
      </w:r>
      <w:r w:rsidRPr="00884C45">
        <w:rPr>
          <w:rFonts w:ascii="Sylfaen" w:hAnsi="Sylfaen"/>
          <w:sz w:val="24"/>
          <w:szCs w:val="24"/>
          <w:lang w:val="hy-AM"/>
        </w:rPr>
        <w:t xml:space="preserve"> մեծությունների սանդղակների (չափումների սանդղակների) վերարտադրում, պահպանում </w:t>
      </w:r>
      <w:r w:rsidR="004C0281">
        <w:rPr>
          <w:rFonts w:ascii="Sylfaen" w:hAnsi="Sylfaen"/>
          <w:sz w:val="24"/>
          <w:szCs w:val="24"/>
          <w:lang w:val="hy-AM"/>
        </w:rPr>
        <w:t>և</w:t>
      </w:r>
      <w:r w:rsidRPr="00884C45">
        <w:rPr>
          <w:rFonts w:ascii="Sylfaen" w:hAnsi="Sylfaen"/>
          <w:sz w:val="24"/>
          <w:szCs w:val="24"/>
          <w:lang w:val="hy-AM"/>
        </w:rPr>
        <w:t xml:space="preserve"> փոխանցում իրականացնող կազմակերպության կողմից (այսուհետ՝ լիազորված կազմակերպություն):</w:t>
      </w:r>
    </w:p>
    <w:p w:rsidR="00BF727A" w:rsidRPr="00884C45" w:rsidRDefault="00BF727A" w:rsidP="00475202">
      <w:pPr>
        <w:spacing w:after="160" w:line="336" w:lineRule="auto"/>
        <w:ind w:firstLine="567"/>
        <w:jc w:val="both"/>
        <w:rPr>
          <w:rFonts w:ascii="Sylfaen" w:hAnsi="Sylfaen"/>
          <w:sz w:val="24"/>
          <w:szCs w:val="24"/>
          <w:lang w:val="hy-AM"/>
        </w:rPr>
      </w:pPr>
      <w:r w:rsidRPr="00884C45">
        <w:rPr>
          <w:rFonts w:ascii="Sylfaen" w:hAnsi="Sylfaen"/>
          <w:sz w:val="24"/>
          <w:szCs w:val="24"/>
          <w:lang w:val="hy-AM"/>
        </w:rPr>
        <w:t>Վկայագրված հղումային մեթոդիկան հաստատվում է անդամ պետության չափումների միասնականության ապահովման մասով լիազորված մարմնի կողմից (այսուհետ՝ լիազոր մարմին):</w:t>
      </w:r>
    </w:p>
    <w:p w:rsidR="00BF727A" w:rsidRPr="00884C45" w:rsidRDefault="00BF727A" w:rsidP="00475202">
      <w:pPr>
        <w:spacing w:after="160" w:line="336" w:lineRule="auto"/>
        <w:ind w:firstLine="567"/>
        <w:jc w:val="both"/>
        <w:rPr>
          <w:rFonts w:ascii="Sylfaen" w:hAnsi="Sylfaen"/>
          <w:sz w:val="24"/>
          <w:szCs w:val="24"/>
          <w:lang w:val="hy-AM"/>
        </w:rPr>
      </w:pPr>
      <w:r w:rsidRPr="00884C45">
        <w:rPr>
          <w:rFonts w:ascii="Sylfaen" w:hAnsi="Sylfaen"/>
          <w:sz w:val="24"/>
          <w:szCs w:val="24"/>
          <w:lang w:val="hy-AM"/>
        </w:rPr>
        <w:t>Հղումային մեթոդիկայի վկայագրումն անցկացվում է անդամ պետության օրենսդրությանը համապատասխան այդ անդամ պետության տարածքում գրանցված՝ հղումային մեթոդիկայի մշակող հանդիսացող ցանկացած իրավաբանական անձի կամ որպես անհատ ձեռնարկատեր գրանցված ֆիզիկական անձի կամ այն անձի հայտի համաձայն, որի պատվերով մշակվել է հղումային մեթոդիկան (այսուհետ` հայտատուներ):</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lastRenderedPageBreak/>
        <w:t>5.</w:t>
      </w:r>
      <w:r w:rsidR="00475202">
        <w:rPr>
          <w:rFonts w:ascii="Sylfaen" w:hAnsi="Sylfaen"/>
          <w:sz w:val="24"/>
          <w:szCs w:val="24"/>
          <w:lang w:val="hy-AM"/>
        </w:rPr>
        <w:tab/>
      </w:r>
      <w:r w:rsidRPr="00884C45">
        <w:rPr>
          <w:rFonts w:ascii="Sylfaen" w:hAnsi="Sylfaen"/>
          <w:sz w:val="24"/>
          <w:szCs w:val="24"/>
          <w:lang w:val="hy-AM"/>
        </w:rPr>
        <w:t xml:space="preserve">Հղումային մեթոդիկայի վկայագրման ընթացքում անցկացվում են </w:t>
      </w:r>
      <w:r w:rsidRPr="00475202">
        <w:rPr>
          <w:rFonts w:ascii="Sylfaen" w:hAnsi="Sylfaen"/>
          <w:spacing w:val="-6"/>
          <w:sz w:val="24"/>
          <w:szCs w:val="24"/>
          <w:lang w:val="hy-AM"/>
        </w:rPr>
        <w:t xml:space="preserve">տեսական </w:t>
      </w:r>
      <w:r w:rsidR="004C0281">
        <w:rPr>
          <w:rFonts w:ascii="Sylfaen" w:hAnsi="Sylfaen"/>
          <w:spacing w:val="-6"/>
          <w:sz w:val="24"/>
          <w:szCs w:val="24"/>
          <w:lang w:val="hy-AM"/>
        </w:rPr>
        <w:t>և</w:t>
      </w:r>
      <w:r w:rsidRPr="00475202">
        <w:rPr>
          <w:rFonts w:ascii="Sylfaen" w:hAnsi="Sylfaen"/>
          <w:spacing w:val="-6"/>
          <w:sz w:val="24"/>
          <w:szCs w:val="24"/>
          <w:lang w:val="hy-AM"/>
        </w:rPr>
        <w:t xml:space="preserve"> (կամ) փորձարարական ուսումնասիրություններ</w:t>
      </w:r>
      <w:r w:rsidRPr="00884C45">
        <w:rPr>
          <w:rFonts w:ascii="Sylfaen" w:hAnsi="Sylfaen"/>
          <w:sz w:val="24"/>
          <w:szCs w:val="24"/>
          <w:lang w:val="hy-AM"/>
        </w:rPr>
        <w:t xml:space="preserve">, </w:t>
      </w:r>
      <w:r w:rsidR="004C0281">
        <w:rPr>
          <w:rFonts w:ascii="Sylfaen" w:hAnsi="Sylfaen"/>
          <w:sz w:val="24"/>
          <w:szCs w:val="24"/>
          <w:lang w:val="hy-AM"/>
        </w:rPr>
        <w:t>և</w:t>
      </w:r>
      <w:r w:rsidRPr="00884C45">
        <w:rPr>
          <w:rFonts w:ascii="Sylfaen" w:hAnsi="Sylfaen"/>
          <w:sz w:val="24"/>
          <w:szCs w:val="24"/>
          <w:lang w:val="hy-AM"/>
        </w:rPr>
        <w:t xml:space="preserve"> իրականացվում </w:t>
      </w:r>
      <w:r w:rsidR="00EE257A" w:rsidRPr="00884C45">
        <w:rPr>
          <w:rFonts w:ascii="Sylfaen" w:hAnsi="Sylfaen"/>
          <w:sz w:val="24"/>
          <w:szCs w:val="24"/>
          <w:lang w:val="hy-AM"/>
        </w:rPr>
        <w:t>են</w:t>
      </w:r>
      <w:r w:rsidRPr="00884C45">
        <w:rPr>
          <w:rFonts w:ascii="Sylfaen" w:hAnsi="Sylfaen"/>
          <w:sz w:val="24"/>
          <w:szCs w:val="24"/>
          <w:lang w:val="hy-AM"/>
        </w:rPr>
        <w:t xml:space="preserve"> չափումներին ներկայացվող չափագիտական պահանջներին հղումային մեթոդիկայի համապատասխանության հաստատում </w:t>
      </w:r>
      <w:r w:rsidR="004C0281">
        <w:rPr>
          <w:rFonts w:ascii="Sylfaen" w:hAnsi="Sylfaen"/>
          <w:sz w:val="24"/>
          <w:szCs w:val="24"/>
          <w:lang w:val="hy-AM"/>
        </w:rPr>
        <w:t>և</w:t>
      </w:r>
      <w:r w:rsidRPr="00884C45">
        <w:rPr>
          <w:rFonts w:ascii="Sylfaen" w:hAnsi="Sylfaen"/>
          <w:sz w:val="24"/>
          <w:szCs w:val="24"/>
          <w:lang w:val="hy-AM"/>
        </w:rPr>
        <w:t xml:space="preserve"> մի</w:t>
      </w:r>
      <w:r w:rsidR="004C0281">
        <w:rPr>
          <w:rFonts w:ascii="Sylfaen" w:hAnsi="Sylfaen"/>
          <w:sz w:val="24"/>
          <w:szCs w:val="24"/>
          <w:lang w:val="hy-AM"/>
        </w:rPr>
        <w:t>և</w:t>
      </w:r>
      <w:r w:rsidRPr="00884C45">
        <w:rPr>
          <w:rFonts w:ascii="Sylfaen" w:hAnsi="Sylfaen"/>
          <w:sz w:val="24"/>
          <w:szCs w:val="24"/>
          <w:lang w:val="hy-AM"/>
        </w:rPr>
        <w:t>նույն տեսակի մեծության չափումների այլ մեթոդիկաների (մեթոդների) օգնությամբ ստացված մեծության չափված արժեքների ճշտությունը գնահատելու համար, ինչպես նա</w:t>
      </w:r>
      <w:r w:rsidR="004C0281">
        <w:rPr>
          <w:rFonts w:ascii="Sylfaen" w:hAnsi="Sylfaen"/>
          <w:sz w:val="24"/>
          <w:szCs w:val="24"/>
          <w:lang w:val="hy-AM"/>
        </w:rPr>
        <w:t>և</w:t>
      </w:r>
      <w:r w:rsidRPr="00884C45">
        <w:rPr>
          <w:rFonts w:ascii="Sylfaen" w:hAnsi="Sylfaen"/>
          <w:sz w:val="24"/>
          <w:szCs w:val="24"/>
          <w:lang w:val="hy-AM"/>
        </w:rPr>
        <w:t xml:space="preserve"> չափումների միջոցների տրամաչափարկման կամ ստանդարտ նմուշների բնութագրերը սահմանելու համար դրա օգտագործման հնարավորության հաստատում:</w:t>
      </w:r>
    </w:p>
    <w:p w:rsidR="00BF727A" w:rsidRPr="00884C45" w:rsidRDefault="00BF727A" w:rsidP="00884C45">
      <w:pPr>
        <w:spacing w:after="160" w:line="360" w:lineRule="auto"/>
        <w:ind w:firstLine="567"/>
        <w:jc w:val="both"/>
        <w:rPr>
          <w:rFonts w:ascii="Sylfaen" w:hAnsi="Sylfaen"/>
          <w:sz w:val="24"/>
          <w:szCs w:val="24"/>
          <w:lang w:val="hy-AM"/>
        </w:rPr>
      </w:pPr>
      <w:r w:rsidRPr="00884C45">
        <w:rPr>
          <w:rFonts w:ascii="Sylfaen" w:hAnsi="Sylfaen"/>
          <w:sz w:val="24"/>
          <w:szCs w:val="24"/>
          <w:lang w:val="hy-AM"/>
        </w:rPr>
        <w:t xml:space="preserve">Լիազորված կազմակերպությունը փորձարարական հետազոտությունների շրջանակներում միջլաբորատոր բաղդատումներ անցկացնելու համար կարող է ներգրավել հայտատուին </w:t>
      </w:r>
      <w:r w:rsidR="004C0281">
        <w:rPr>
          <w:rFonts w:ascii="Sylfaen" w:hAnsi="Sylfaen"/>
          <w:sz w:val="24"/>
          <w:szCs w:val="24"/>
          <w:lang w:val="hy-AM"/>
        </w:rPr>
        <w:t>և</w:t>
      </w:r>
      <w:r w:rsidRPr="00884C45">
        <w:rPr>
          <w:rFonts w:ascii="Sylfaen" w:hAnsi="Sylfaen"/>
          <w:sz w:val="24"/>
          <w:szCs w:val="24"/>
          <w:lang w:val="hy-AM"/>
        </w:rPr>
        <w:t xml:space="preserve"> (կամ) անդամ պետությունների այլ կազմակերպություններ:</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6.</w:t>
      </w:r>
      <w:r w:rsidR="00475202">
        <w:rPr>
          <w:rFonts w:ascii="Sylfaen" w:hAnsi="Sylfaen"/>
          <w:sz w:val="24"/>
          <w:szCs w:val="24"/>
          <w:lang w:val="hy-AM"/>
        </w:rPr>
        <w:tab/>
      </w:r>
      <w:r w:rsidRPr="00884C45">
        <w:rPr>
          <w:rFonts w:ascii="Sylfaen" w:hAnsi="Sylfaen"/>
          <w:sz w:val="24"/>
          <w:szCs w:val="24"/>
          <w:lang w:val="hy-AM"/>
        </w:rPr>
        <w:t xml:space="preserve">Հղումային մեթոդիկայի տեսական </w:t>
      </w:r>
      <w:r w:rsidR="004C0281">
        <w:rPr>
          <w:rFonts w:ascii="Sylfaen" w:hAnsi="Sylfaen"/>
          <w:sz w:val="24"/>
          <w:szCs w:val="24"/>
          <w:lang w:val="hy-AM"/>
        </w:rPr>
        <w:t>և</w:t>
      </w:r>
      <w:r w:rsidRPr="00884C45">
        <w:rPr>
          <w:rFonts w:ascii="Sylfaen" w:hAnsi="Sylfaen"/>
          <w:sz w:val="24"/>
          <w:szCs w:val="24"/>
          <w:lang w:val="hy-AM"/>
        </w:rPr>
        <w:t xml:space="preserve"> (կամ) փորձարարական ուսումնասիրություններ անցկացնելիս իրականացվում են՝</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ա)</w:t>
      </w:r>
      <w:r w:rsidR="00475202">
        <w:rPr>
          <w:rFonts w:ascii="Sylfaen" w:hAnsi="Sylfaen"/>
          <w:sz w:val="24"/>
          <w:szCs w:val="24"/>
          <w:lang w:val="hy-AM"/>
        </w:rPr>
        <w:tab/>
      </w:r>
      <w:r w:rsidRPr="00884C45">
        <w:rPr>
          <w:rFonts w:ascii="Sylfaen" w:hAnsi="Sylfaen"/>
          <w:sz w:val="24"/>
          <w:szCs w:val="24"/>
          <w:lang w:val="hy-AM"/>
        </w:rPr>
        <w:t>չափումների ստացվող արդյունքների ճշգրտության ցուցանիշների սահմանում՝ հետ</w:t>
      </w:r>
      <w:r w:rsidR="004C0281">
        <w:rPr>
          <w:rFonts w:ascii="Sylfaen" w:hAnsi="Sylfaen"/>
          <w:sz w:val="24"/>
          <w:szCs w:val="24"/>
          <w:lang w:val="hy-AM"/>
        </w:rPr>
        <w:t>և</w:t>
      </w:r>
      <w:r w:rsidRPr="00884C45">
        <w:rPr>
          <w:rFonts w:ascii="Sylfaen" w:hAnsi="Sylfaen"/>
          <w:sz w:val="24"/>
          <w:szCs w:val="24"/>
          <w:lang w:val="hy-AM"/>
        </w:rPr>
        <w:t>յալի համապատասխանությունը հաստատելու նպատակներով՝</w:t>
      </w:r>
    </w:p>
    <w:p w:rsidR="00BF727A" w:rsidRPr="00884C45" w:rsidRDefault="00BF727A" w:rsidP="00884C45">
      <w:pPr>
        <w:spacing w:after="160" w:line="360" w:lineRule="auto"/>
        <w:ind w:firstLine="567"/>
        <w:jc w:val="both"/>
        <w:rPr>
          <w:rFonts w:ascii="Sylfaen" w:hAnsi="Sylfaen"/>
          <w:sz w:val="24"/>
          <w:szCs w:val="24"/>
          <w:lang w:val="hy-AM"/>
        </w:rPr>
      </w:pPr>
      <w:r w:rsidRPr="00884C45">
        <w:rPr>
          <w:rFonts w:ascii="Sylfaen" w:hAnsi="Sylfaen"/>
          <w:sz w:val="24"/>
          <w:szCs w:val="24"/>
          <w:lang w:val="hy-AM"/>
        </w:rPr>
        <w:t xml:space="preserve">հղումային մեթոդիկայի՝ իր նպատակային նշանակությանը (համապատասխանությունը չափումների օբյեկտի հատկություններին </w:t>
      </w:r>
      <w:r w:rsidR="004C0281">
        <w:rPr>
          <w:rFonts w:ascii="Sylfaen" w:hAnsi="Sylfaen"/>
          <w:sz w:val="24"/>
          <w:szCs w:val="24"/>
          <w:lang w:val="hy-AM"/>
        </w:rPr>
        <w:t>և</w:t>
      </w:r>
      <w:r w:rsidRPr="00884C45">
        <w:rPr>
          <w:rFonts w:ascii="Sylfaen" w:hAnsi="Sylfaen"/>
          <w:sz w:val="24"/>
          <w:szCs w:val="24"/>
          <w:lang w:val="hy-AM"/>
        </w:rPr>
        <w:t xml:space="preserve"> չափվող մեծությունների բնույթին),</w:t>
      </w:r>
    </w:p>
    <w:p w:rsidR="00BF727A" w:rsidRPr="00884C45" w:rsidRDefault="00BF727A" w:rsidP="00884C45">
      <w:pPr>
        <w:spacing w:after="160" w:line="360" w:lineRule="auto"/>
        <w:ind w:firstLine="567"/>
        <w:jc w:val="both"/>
        <w:rPr>
          <w:rFonts w:ascii="Sylfaen" w:hAnsi="Sylfaen"/>
          <w:sz w:val="24"/>
          <w:szCs w:val="24"/>
          <w:lang w:val="hy-AM"/>
        </w:rPr>
      </w:pPr>
      <w:r w:rsidRPr="00884C45">
        <w:rPr>
          <w:rFonts w:ascii="Sylfaen" w:hAnsi="Sylfaen"/>
          <w:sz w:val="24"/>
          <w:szCs w:val="24"/>
          <w:lang w:val="hy-AM"/>
        </w:rPr>
        <w:t>չափումների կատարման պայմանների՝ հղումային մեթոդիկայի կիրառման պահանջներին,</w:t>
      </w:r>
    </w:p>
    <w:p w:rsidR="00BF727A" w:rsidRPr="00884C45" w:rsidRDefault="00BF727A" w:rsidP="00884C45">
      <w:pPr>
        <w:spacing w:after="160" w:line="360" w:lineRule="auto"/>
        <w:ind w:firstLine="567"/>
        <w:jc w:val="both"/>
        <w:rPr>
          <w:rFonts w:ascii="Sylfaen" w:hAnsi="Sylfaen"/>
          <w:sz w:val="24"/>
          <w:szCs w:val="24"/>
          <w:lang w:val="hy-AM"/>
        </w:rPr>
      </w:pPr>
      <w:r w:rsidRPr="00884C45">
        <w:rPr>
          <w:rFonts w:ascii="Sylfaen" w:hAnsi="Sylfaen"/>
          <w:sz w:val="24"/>
          <w:szCs w:val="24"/>
          <w:lang w:val="hy-AM"/>
        </w:rPr>
        <w:t>չափումների արդյունքների ճշգրտության ցուցանիշների՝ հղումային մեթոդիկայի մշակման տեխնիկական առաջադրանքում կամ հղումային մեթոդիկայի մշակման ելակետային պահանջներ պարունակող այլ փաստաթղթում սահմանված՝ չափումներին ներկայացվող չափագիտական պահանջներին (այսուհետ` տեխնիկական առաջադրանք),</w:t>
      </w:r>
    </w:p>
    <w:p w:rsidR="00BF727A" w:rsidRPr="00884C45" w:rsidRDefault="00BF727A" w:rsidP="00884C45">
      <w:pPr>
        <w:spacing w:after="160" w:line="360" w:lineRule="auto"/>
        <w:ind w:firstLine="567"/>
        <w:jc w:val="both"/>
        <w:rPr>
          <w:rFonts w:ascii="Sylfaen" w:hAnsi="Sylfaen"/>
          <w:sz w:val="24"/>
          <w:szCs w:val="24"/>
          <w:lang w:val="hy-AM"/>
        </w:rPr>
      </w:pPr>
      <w:r w:rsidRPr="00884C45">
        <w:rPr>
          <w:rFonts w:ascii="Sylfaen" w:hAnsi="Sylfaen"/>
          <w:sz w:val="24"/>
          <w:szCs w:val="24"/>
          <w:lang w:val="hy-AM"/>
        </w:rPr>
        <w:lastRenderedPageBreak/>
        <w:t xml:space="preserve">հղումային մեթոդիկայի իրականացման համար օգտագործվող՝ հաստատված տեսակի մեծությունների միավորների չափանմուշների, ստանդարտ նմուշների </w:t>
      </w:r>
      <w:r w:rsidR="004C0281">
        <w:rPr>
          <w:rFonts w:ascii="Sylfaen" w:hAnsi="Sylfaen"/>
          <w:sz w:val="24"/>
          <w:szCs w:val="24"/>
          <w:lang w:val="hy-AM"/>
        </w:rPr>
        <w:t>և</w:t>
      </w:r>
      <w:r w:rsidRPr="00884C45">
        <w:rPr>
          <w:rFonts w:ascii="Sylfaen" w:hAnsi="Sylfaen"/>
          <w:sz w:val="24"/>
          <w:szCs w:val="24"/>
          <w:lang w:val="hy-AM"/>
        </w:rPr>
        <w:t xml:space="preserve"> չափումների միջոցների՝ չափումների ստացվող արդյունքների՝ մեծությունների միավորների պետական առաջնային չափանմուշների կամ առաջնային հղումային մեթոդիկաների (մեթոդների), իսկ դրանց բացակայության դեպքում՝ այլ պետությունների չափումների մեծությունների միավորների ազգային չափանմուշների կամ առաջնային հղումային մեթոդիկաների (մեթոդների) նկատմամբ հետ</w:t>
      </w:r>
      <w:r w:rsidR="004C0281">
        <w:rPr>
          <w:rFonts w:ascii="Sylfaen" w:hAnsi="Sylfaen"/>
          <w:sz w:val="24"/>
          <w:szCs w:val="24"/>
          <w:lang w:val="hy-AM"/>
        </w:rPr>
        <w:t>և</w:t>
      </w:r>
      <w:r w:rsidRPr="00884C45">
        <w:rPr>
          <w:rFonts w:ascii="Sylfaen" w:hAnsi="Sylfaen"/>
          <w:sz w:val="24"/>
          <w:szCs w:val="24"/>
          <w:lang w:val="hy-AM"/>
        </w:rPr>
        <w:t>ելիության ապահովման պայմաններին,</w:t>
      </w:r>
    </w:p>
    <w:p w:rsidR="00BF727A" w:rsidRPr="00884C45" w:rsidRDefault="00BF727A" w:rsidP="00884C45">
      <w:pPr>
        <w:spacing w:after="160" w:line="360" w:lineRule="auto"/>
        <w:ind w:firstLine="567"/>
        <w:jc w:val="both"/>
        <w:rPr>
          <w:rFonts w:ascii="Sylfaen" w:hAnsi="Sylfaen"/>
          <w:sz w:val="24"/>
          <w:szCs w:val="24"/>
          <w:lang w:val="hy-AM"/>
        </w:rPr>
      </w:pPr>
      <w:r w:rsidRPr="00884C45">
        <w:rPr>
          <w:rFonts w:ascii="Sylfaen" w:hAnsi="Sylfaen"/>
          <w:sz w:val="24"/>
          <w:szCs w:val="24"/>
          <w:lang w:val="hy-AM"/>
        </w:rPr>
        <w:t xml:space="preserve">չափումների արդյունքների գրառումների՝ Միավորների միջազգային համակարգի (ՄՀ) մեծությունների միավորների անվանումներին </w:t>
      </w:r>
      <w:r w:rsidR="004C0281">
        <w:rPr>
          <w:rFonts w:ascii="Sylfaen" w:hAnsi="Sylfaen"/>
          <w:sz w:val="24"/>
          <w:szCs w:val="24"/>
          <w:lang w:val="hy-AM"/>
        </w:rPr>
        <w:t>և</w:t>
      </w:r>
      <w:r w:rsidRPr="00884C45">
        <w:rPr>
          <w:rFonts w:ascii="Sylfaen" w:hAnsi="Sylfaen"/>
          <w:sz w:val="24"/>
          <w:szCs w:val="24"/>
          <w:lang w:val="hy-AM"/>
        </w:rPr>
        <w:t xml:space="preserve"> (կամ) պայմանանշաններին </w:t>
      </w:r>
      <w:r w:rsidR="004C0281">
        <w:rPr>
          <w:rFonts w:ascii="Sylfaen" w:hAnsi="Sylfaen"/>
          <w:sz w:val="24"/>
          <w:szCs w:val="24"/>
          <w:lang w:val="hy-AM"/>
        </w:rPr>
        <w:t>և</w:t>
      </w:r>
      <w:r w:rsidRPr="00884C45">
        <w:rPr>
          <w:rFonts w:ascii="Sylfaen" w:hAnsi="Sylfaen"/>
          <w:sz w:val="24"/>
          <w:szCs w:val="24"/>
          <w:lang w:val="hy-AM"/>
        </w:rPr>
        <w:t xml:space="preserve"> Եվրասիական տնտեսական հանձնաժողովի կոլեգիայի 2015 թվականի ապրիլի 21-ի թիվ 34 որոշմամբ հաստատված՝ Միության տեխնիկական կանոնակարգերի մշակման ժամանակ կիրառվող մեծությունների արտահամակարգային միավորների, այդ թվում՝ Միավորների միջազգային համակարգի (ՄՀ) հետ դրանց հարաբերակցության ցանկին,</w:t>
      </w:r>
    </w:p>
    <w:p w:rsidR="00BF727A" w:rsidRPr="00884C45" w:rsidRDefault="00BF727A" w:rsidP="00884C45">
      <w:pPr>
        <w:spacing w:after="160" w:line="360" w:lineRule="auto"/>
        <w:ind w:firstLine="567"/>
        <w:jc w:val="both"/>
        <w:rPr>
          <w:rFonts w:ascii="Sylfaen" w:hAnsi="Sylfaen"/>
          <w:sz w:val="24"/>
          <w:szCs w:val="24"/>
          <w:lang w:val="hy-AM"/>
        </w:rPr>
      </w:pPr>
      <w:r w:rsidRPr="00884C45">
        <w:rPr>
          <w:rFonts w:ascii="Sylfaen" w:hAnsi="Sylfaen"/>
          <w:sz w:val="24"/>
          <w:szCs w:val="24"/>
          <w:lang w:val="hy-AM"/>
        </w:rPr>
        <w:t>չափումների ստացված արդյունքների ներկայացման ձ</w:t>
      </w:r>
      <w:r w:rsidR="004C0281">
        <w:rPr>
          <w:rFonts w:ascii="Sylfaen" w:hAnsi="Sylfaen"/>
          <w:sz w:val="24"/>
          <w:szCs w:val="24"/>
          <w:lang w:val="hy-AM"/>
        </w:rPr>
        <w:t>և</w:t>
      </w:r>
      <w:r w:rsidRPr="00884C45">
        <w:rPr>
          <w:rFonts w:ascii="Sylfaen" w:hAnsi="Sylfaen"/>
          <w:sz w:val="24"/>
          <w:szCs w:val="24"/>
          <w:lang w:val="hy-AM"/>
        </w:rPr>
        <w:t>ի՝ չափումներին ներկայացվող չափագիտական պահանջներին,</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բ)</w:t>
      </w:r>
      <w:r w:rsidR="00475202">
        <w:rPr>
          <w:rFonts w:ascii="Sylfaen" w:hAnsi="Sylfaen"/>
          <w:sz w:val="24"/>
          <w:szCs w:val="24"/>
          <w:lang w:val="hy-AM"/>
        </w:rPr>
        <w:tab/>
      </w:r>
      <w:r w:rsidRPr="00884C45">
        <w:rPr>
          <w:rFonts w:ascii="Sylfaen" w:hAnsi="Sylfaen"/>
          <w:sz w:val="24"/>
          <w:szCs w:val="24"/>
          <w:lang w:val="hy-AM"/>
        </w:rPr>
        <w:t>հղումային մեթոդիկայի ճշգրտության ցուցանիշների՝ դրա կիրառման նպատակներին համապատասխանության գնահատում՝ մի</w:t>
      </w:r>
      <w:r w:rsidR="004C0281">
        <w:rPr>
          <w:rFonts w:ascii="Sylfaen" w:hAnsi="Sylfaen"/>
          <w:sz w:val="24"/>
          <w:szCs w:val="24"/>
          <w:lang w:val="hy-AM"/>
        </w:rPr>
        <w:t>և</w:t>
      </w:r>
      <w:r w:rsidRPr="00884C45">
        <w:rPr>
          <w:rFonts w:ascii="Sylfaen" w:hAnsi="Sylfaen"/>
          <w:sz w:val="24"/>
          <w:szCs w:val="24"/>
          <w:lang w:val="hy-AM"/>
        </w:rPr>
        <w:t>նույն տեսակի մեծությունների չափումների այլ մեթոդիկաների (մեթոդների) կիրառմամբ ստացված չափումների արդյունքների ճշտությունը գնահատելու, չափումների միջոցների տրամաչափարկման կամ ստանդարտ նմուշների բնութագրերը սահմանելու համար,</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գ)</w:t>
      </w:r>
      <w:r w:rsidR="00475202">
        <w:rPr>
          <w:rFonts w:ascii="Sylfaen" w:hAnsi="Sylfaen"/>
          <w:sz w:val="24"/>
          <w:szCs w:val="24"/>
          <w:lang w:val="hy-AM"/>
        </w:rPr>
        <w:tab/>
      </w:r>
      <w:r w:rsidRPr="00884C45">
        <w:rPr>
          <w:rFonts w:ascii="Sylfaen" w:hAnsi="Sylfaen"/>
          <w:sz w:val="24"/>
          <w:szCs w:val="24"/>
          <w:lang w:val="hy-AM"/>
        </w:rPr>
        <w:t>հղումային մեթոդիկայի կիրառման ընթացակարգի փորձարարական փորձարկում՝ մի</w:t>
      </w:r>
      <w:r w:rsidR="004C0281">
        <w:rPr>
          <w:rFonts w:ascii="Sylfaen" w:hAnsi="Sylfaen"/>
          <w:sz w:val="24"/>
          <w:szCs w:val="24"/>
          <w:lang w:val="hy-AM"/>
        </w:rPr>
        <w:t>և</w:t>
      </w:r>
      <w:r w:rsidRPr="00884C45">
        <w:rPr>
          <w:rFonts w:ascii="Sylfaen" w:hAnsi="Sylfaen"/>
          <w:sz w:val="24"/>
          <w:szCs w:val="24"/>
          <w:lang w:val="hy-AM"/>
        </w:rPr>
        <w:t>նույն տեսակի մեծությունների չափումների այլ մեթոդիկաների (մեթոդների) կիրառմամբ ստացված չափումների արդյունքների ճշտությունը գնահատելու համար,</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lastRenderedPageBreak/>
        <w:t>դ)</w:t>
      </w:r>
      <w:r w:rsidR="00475202">
        <w:rPr>
          <w:rFonts w:ascii="Sylfaen" w:hAnsi="Sylfaen"/>
          <w:sz w:val="24"/>
          <w:szCs w:val="24"/>
          <w:lang w:val="hy-AM"/>
        </w:rPr>
        <w:tab/>
      </w:r>
      <w:r w:rsidRPr="00884C45">
        <w:rPr>
          <w:rFonts w:ascii="Sylfaen" w:hAnsi="Sylfaen"/>
          <w:sz w:val="24"/>
          <w:szCs w:val="24"/>
          <w:lang w:val="hy-AM"/>
        </w:rPr>
        <w:t>չափումների ստացված արդյունքների չափագիտական հետ</w:t>
      </w:r>
      <w:r w:rsidR="004C0281">
        <w:rPr>
          <w:rFonts w:ascii="Sylfaen" w:hAnsi="Sylfaen"/>
          <w:sz w:val="24"/>
          <w:szCs w:val="24"/>
          <w:lang w:val="hy-AM"/>
        </w:rPr>
        <w:t>և</w:t>
      </w:r>
      <w:r w:rsidRPr="00884C45">
        <w:rPr>
          <w:rFonts w:ascii="Sylfaen" w:hAnsi="Sylfaen"/>
          <w:sz w:val="24"/>
          <w:szCs w:val="24"/>
          <w:lang w:val="hy-AM"/>
        </w:rPr>
        <w:t>ելիության փաստաթղթային հաստատում</w:t>
      </w:r>
      <w:r w:rsidR="007110A2" w:rsidRPr="00884C45">
        <w:rPr>
          <w:rFonts w:ascii="Sylfaen" w:hAnsi="Sylfaen"/>
          <w:sz w:val="24"/>
          <w:szCs w:val="24"/>
          <w:lang w:val="hy-AM"/>
        </w:rPr>
        <w:t>,</w:t>
      </w:r>
      <w:r w:rsidRPr="00884C45">
        <w:rPr>
          <w:rFonts w:ascii="Sylfaen" w:hAnsi="Sylfaen"/>
          <w:sz w:val="24"/>
          <w:szCs w:val="24"/>
          <w:lang w:val="hy-AM"/>
        </w:rPr>
        <w:t xml:space="preserve"> այդ թվում՝ մի</w:t>
      </w:r>
      <w:r w:rsidR="004C0281">
        <w:rPr>
          <w:rFonts w:ascii="Sylfaen" w:hAnsi="Sylfaen"/>
          <w:sz w:val="24"/>
          <w:szCs w:val="24"/>
          <w:lang w:val="hy-AM"/>
        </w:rPr>
        <w:t>և</w:t>
      </w:r>
      <w:r w:rsidRPr="00884C45">
        <w:rPr>
          <w:rFonts w:ascii="Sylfaen" w:hAnsi="Sylfaen"/>
          <w:sz w:val="24"/>
          <w:szCs w:val="24"/>
          <w:lang w:val="hy-AM"/>
        </w:rPr>
        <w:t>նույն տեսակի մեծություների չափումների առաջնային հղումային մեթոդիկայի (մեթոդի) (դրա առկայության դեպքում) կիրառմամբ ստացված չափումների արդյունքների ճշտության գնահատման օգտագործմամբ,</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ե)</w:t>
      </w:r>
      <w:r w:rsidR="00475202">
        <w:rPr>
          <w:rFonts w:ascii="Sylfaen" w:hAnsi="Sylfaen"/>
          <w:sz w:val="24"/>
          <w:szCs w:val="24"/>
          <w:lang w:val="hy-AM"/>
        </w:rPr>
        <w:tab/>
      </w:r>
      <w:r w:rsidRPr="00884C45">
        <w:rPr>
          <w:rFonts w:ascii="Sylfaen" w:hAnsi="Sylfaen"/>
          <w:sz w:val="24"/>
          <w:szCs w:val="24"/>
          <w:lang w:val="hy-AM"/>
        </w:rPr>
        <w:t>միջլաբորատոր բաղդատումների կամ մի</w:t>
      </w:r>
      <w:r w:rsidR="004C0281">
        <w:rPr>
          <w:rFonts w:ascii="Sylfaen" w:hAnsi="Sylfaen"/>
          <w:sz w:val="24"/>
          <w:szCs w:val="24"/>
          <w:lang w:val="hy-AM"/>
        </w:rPr>
        <w:t>և</w:t>
      </w:r>
      <w:r w:rsidRPr="00884C45">
        <w:rPr>
          <w:rFonts w:ascii="Sylfaen" w:hAnsi="Sylfaen"/>
          <w:sz w:val="24"/>
          <w:szCs w:val="24"/>
          <w:lang w:val="hy-AM"/>
        </w:rPr>
        <w:t>նույն տեսակի մեծության չափումների այլ հղումային մեթոդիկայի (մեթոդի) հետ բաղդատման անցկացում,</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զ)</w:t>
      </w:r>
      <w:r w:rsidR="00475202">
        <w:rPr>
          <w:rFonts w:ascii="Sylfaen" w:hAnsi="Sylfaen"/>
          <w:sz w:val="24"/>
          <w:szCs w:val="24"/>
          <w:lang w:val="hy-AM"/>
        </w:rPr>
        <w:tab/>
      </w:r>
      <w:r w:rsidRPr="00884C45">
        <w:rPr>
          <w:rFonts w:ascii="Sylfaen" w:hAnsi="Sylfaen"/>
          <w:sz w:val="24"/>
          <w:szCs w:val="24"/>
          <w:lang w:val="hy-AM"/>
        </w:rPr>
        <w:t>անորոշության բյուջեի կամ չափումների ստացված արդյունքի սխալանքի կառուցվածքի ներկայացում,</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է)</w:t>
      </w:r>
      <w:r w:rsidR="00475202">
        <w:rPr>
          <w:rFonts w:ascii="Sylfaen" w:hAnsi="Sylfaen"/>
          <w:sz w:val="24"/>
          <w:szCs w:val="24"/>
          <w:lang w:val="hy-AM"/>
        </w:rPr>
        <w:tab/>
      </w:r>
      <w:r w:rsidRPr="00884C45">
        <w:rPr>
          <w:rFonts w:ascii="Sylfaen" w:hAnsi="Sylfaen"/>
          <w:sz w:val="24"/>
          <w:szCs w:val="24"/>
          <w:lang w:val="hy-AM"/>
        </w:rPr>
        <w:t>չափումների ստացված արդյունքների ճշգրտության ցուցանիշների հսկողության փաստաթղթավորված ընթացակարգի փորձարարական փորձարկում:</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7.</w:t>
      </w:r>
      <w:r w:rsidR="00475202">
        <w:rPr>
          <w:rFonts w:ascii="Sylfaen" w:hAnsi="Sylfaen"/>
          <w:sz w:val="24"/>
          <w:szCs w:val="24"/>
          <w:lang w:val="hy-AM"/>
        </w:rPr>
        <w:tab/>
      </w:r>
      <w:r w:rsidRPr="00884C45">
        <w:rPr>
          <w:rFonts w:ascii="Sylfaen" w:hAnsi="Sylfaen"/>
          <w:sz w:val="24"/>
          <w:szCs w:val="24"/>
          <w:lang w:val="hy-AM"/>
        </w:rPr>
        <w:t>Հղումային մեթոդիկայի՝ չափումներին ներկայացվող չափագիտական պահանջներին համապատասխանությունը հաստատելիս լիազորված կազմակերպության կողմից անցկացվում է հետ</w:t>
      </w:r>
      <w:r w:rsidR="004C0281">
        <w:rPr>
          <w:rFonts w:ascii="Sylfaen" w:hAnsi="Sylfaen"/>
          <w:sz w:val="24"/>
          <w:szCs w:val="24"/>
          <w:lang w:val="hy-AM"/>
        </w:rPr>
        <w:t>և</w:t>
      </w:r>
      <w:r w:rsidRPr="00884C45">
        <w:rPr>
          <w:rFonts w:ascii="Sylfaen" w:hAnsi="Sylfaen"/>
          <w:sz w:val="24"/>
          <w:szCs w:val="24"/>
          <w:lang w:val="hy-AM"/>
        </w:rPr>
        <w:t>յալի ճշտության (հիմնավորվածության) գնահատում՝</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ա)</w:t>
      </w:r>
      <w:r w:rsidR="00475202">
        <w:rPr>
          <w:rFonts w:ascii="Sylfaen" w:hAnsi="Sylfaen"/>
          <w:sz w:val="24"/>
          <w:szCs w:val="24"/>
          <w:lang w:val="hy-AM"/>
        </w:rPr>
        <w:tab/>
      </w:r>
      <w:r w:rsidRPr="00884C45">
        <w:rPr>
          <w:rFonts w:ascii="Sylfaen" w:hAnsi="Sylfaen"/>
          <w:sz w:val="24"/>
          <w:szCs w:val="24"/>
          <w:lang w:val="hy-AM"/>
        </w:rPr>
        <w:t>հետ</w:t>
      </w:r>
      <w:r w:rsidR="004C0281">
        <w:rPr>
          <w:rFonts w:ascii="Sylfaen" w:hAnsi="Sylfaen"/>
          <w:sz w:val="24"/>
          <w:szCs w:val="24"/>
          <w:lang w:val="hy-AM"/>
        </w:rPr>
        <w:t>և</w:t>
      </w:r>
      <w:r w:rsidRPr="00884C45">
        <w:rPr>
          <w:rFonts w:ascii="Sylfaen" w:hAnsi="Sylfaen"/>
          <w:sz w:val="24"/>
          <w:szCs w:val="24"/>
          <w:lang w:val="hy-AM"/>
        </w:rPr>
        <w:t>յալի ընտրության՝</w:t>
      </w:r>
    </w:p>
    <w:p w:rsidR="00BF727A" w:rsidRPr="00884C45" w:rsidRDefault="00BF727A" w:rsidP="00884C45">
      <w:pPr>
        <w:spacing w:after="160" w:line="360" w:lineRule="auto"/>
        <w:ind w:firstLine="567"/>
        <w:jc w:val="both"/>
        <w:rPr>
          <w:rFonts w:ascii="Sylfaen" w:hAnsi="Sylfaen"/>
          <w:sz w:val="24"/>
          <w:szCs w:val="24"/>
          <w:lang w:val="hy-AM"/>
        </w:rPr>
      </w:pPr>
      <w:r w:rsidRPr="00884C45">
        <w:rPr>
          <w:rFonts w:ascii="Sylfaen" w:hAnsi="Sylfaen"/>
          <w:sz w:val="24"/>
          <w:szCs w:val="24"/>
          <w:lang w:val="hy-AM"/>
        </w:rPr>
        <w:t>մեթոդի,</w:t>
      </w:r>
    </w:p>
    <w:p w:rsidR="00BF727A" w:rsidRPr="00884C45" w:rsidRDefault="00BF727A" w:rsidP="00884C45">
      <w:pPr>
        <w:spacing w:after="160" w:line="360" w:lineRule="auto"/>
        <w:ind w:firstLine="567"/>
        <w:jc w:val="both"/>
        <w:rPr>
          <w:rFonts w:ascii="Sylfaen" w:hAnsi="Sylfaen"/>
          <w:sz w:val="24"/>
          <w:szCs w:val="24"/>
          <w:lang w:val="hy-AM"/>
        </w:rPr>
      </w:pPr>
      <w:r w:rsidRPr="00884C45">
        <w:rPr>
          <w:rFonts w:ascii="Sylfaen" w:hAnsi="Sylfaen"/>
          <w:sz w:val="24"/>
          <w:szCs w:val="24"/>
          <w:lang w:val="hy-AM"/>
        </w:rPr>
        <w:t>չափումների միջոցների,</w:t>
      </w:r>
    </w:p>
    <w:p w:rsidR="00BF727A" w:rsidRPr="00884C45" w:rsidRDefault="00BF727A" w:rsidP="00884C45">
      <w:pPr>
        <w:spacing w:after="160" w:line="360" w:lineRule="auto"/>
        <w:ind w:firstLine="567"/>
        <w:jc w:val="both"/>
        <w:rPr>
          <w:rFonts w:ascii="Sylfaen" w:hAnsi="Sylfaen"/>
          <w:sz w:val="24"/>
          <w:szCs w:val="24"/>
          <w:lang w:val="hy-AM"/>
        </w:rPr>
      </w:pPr>
      <w:r w:rsidRPr="00884C45">
        <w:rPr>
          <w:rFonts w:ascii="Sylfaen" w:hAnsi="Sylfaen"/>
          <w:sz w:val="24"/>
          <w:szCs w:val="24"/>
          <w:lang w:val="hy-AM"/>
        </w:rPr>
        <w:t>ստանդարտ նմուշների,</w:t>
      </w:r>
    </w:p>
    <w:p w:rsidR="00BF727A" w:rsidRPr="00884C45" w:rsidRDefault="00BF727A" w:rsidP="00884C45">
      <w:pPr>
        <w:spacing w:after="160" w:line="360" w:lineRule="auto"/>
        <w:ind w:firstLine="567"/>
        <w:jc w:val="both"/>
        <w:rPr>
          <w:rFonts w:ascii="Sylfaen" w:hAnsi="Sylfaen"/>
          <w:sz w:val="24"/>
          <w:szCs w:val="24"/>
          <w:lang w:val="hy-AM"/>
        </w:rPr>
      </w:pPr>
      <w:r w:rsidRPr="00884C45">
        <w:rPr>
          <w:rFonts w:ascii="Sylfaen" w:hAnsi="Sylfaen"/>
          <w:sz w:val="24"/>
          <w:szCs w:val="24"/>
          <w:lang w:val="hy-AM"/>
        </w:rPr>
        <w:t xml:space="preserve">օժանդակ </w:t>
      </w:r>
      <w:r w:rsidR="004C0281">
        <w:rPr>
          <w:rFonts w:ascii="Sylfaen" w:hAnsi="Sylfaen"/>
          <w:sz w:val="24"/>
          <w:szCs w:val="24"/>
          <w:lang w:val="hy-AM"/>
        </w:rPr>
        <w:t>և</w:t>
      </w:r>
      <w:r w:rsidRPr="00884C45">
        <w:rPr>
          <w:rFonts w:ascii="Sylfaen" w:hAnsi="Sylfaen"/>
          <w:sz w:val="24"/>
          <w:szCs w:val="24"/>
          <w:lang w:val="hy-AM"/>
        </w:rPr>
        <w:t xml:space="preserve"> այլ տեխնիկական միջոցների,</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բ)</w:t>
      </w:r>
      <w:r w:rsidR="00475202">
        <w:rPr>
          <w:rFonts w:ascii="Sylfaen" w:hAnsi="Sylfaen"/>
          <w:sz w:val="24"/>
          <w:szCs w:val="24"/>
          <w:lang w:val="hy-AM"/>
        </w:rPr>
        <w:tab/>
      </w:r>
      <w:r w:rsidRPr="00884C45">
        <w:rPr>
          <w:rFonts w:ascii="Sylfaen" w:hAnsi="Sylfaen"/>
          <w:sz w:val="24"/>
          <w:szCs w:val="24"/>
          <w:lang w:val="hy-AM"/>
        </w:rPr>
        <w:t xml:space="preserve">փորձանմուշներ վերցնելիս ու պատրաստելիս, չափումներին նախապատրաստվելիս </w:t>
      </w:r>
      <w:r w:rsidR="004C0281">
        <w:rPr>
          <w:rFonts w:ascii="Sylfaen" w:hAnsi="Sylfaen"/>
          <w:sz w:val="24"/>
          <w:szCs w:val="24"/>
          <w:lang w:val="hy-AM"/>
        </w:rPr>
        <w:t>և</w:t>
      </w:r>
      <w:r w:rsidRPr="00884C45">
        <w:rPr>
          <w:rFonts w:ascii="Sylfaen" w:hAnsi="Sylfaen"/>
          <w:sz w:val="24"/>
          <w:szCs w:val="24"/>
          <w:lang w:val="hy-AM"/>
        </w:rPr>
        <w:t xml:space="preserve"> այդ չափումները կատարելիս գործառնությունների հերթականության </w:t>
      </w:r>
      <w:r w:rsidR="004C0281">
        <w:rPr>
          <w:rFonts w:ascii="Sylfaen" w:hAnsi="Sylfaen"/>
          <w:sz w:val="24"/>
          <w:szCs w:val="24"/>
          <w:lang w:val="hy-AM"/>
        </w:rPr>
        <w:t>և</w:t>
      </w:r>
      <w:r w:rsidRPr="00884C45">
        <w:rPr>
          <w:rFonts w:ascii="Sylfaen" w:hAnsi="Sylfaen"/>
          <w:sz w:val="24"/>
          <w:szCs w:val="24"/>
          <w:lang w:val="hy-AM"/>
        </w:rPr>
        <w:t xml:space="preserve"> բովանդակության սահմանման,</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գ)</w:t>
      </w:r>
      <w:r w:rsidR="00475202">
        <w:rPr>
          <w:rFonts w:ascii="Sylfaen" w:hAnsi="Sylfaen"/>
          <w:sz w:val="24"/>
          <w:szCs w:val="24"/>
          <w:lang w:val="hy-AM"/>
        </w:rPr>
        <w:tab/>
      </w:r>
      <w:r w:rsidRPr="00884C45">
        <w:rPr>
          <w:rFonts w:ascii="Sylfaen" w:hAnsi="Sylfaen"/>
          <w:sz w:val="24"/>
          <w:szCs w:val="24"/>
          <w:lang w:val="hy-AM"/>
        </w:rPr>
        <w:t xml:space="preserve">չափումների միջանկյալ արդյունքների մշակման </w:t>
      </w:r>
      <w:r w:rsidR="004C0281">
        <w:rPr>
          <w:rFonts w:ascii="Sylfaen" w:hAnsi="Sylfaen"/>
          <w:sz w:val="24"/>
          <w:szCs w:val="24"/>
          <w:lang w:val="hy-AM"/>
        </w:rPr>
        <w:t>և</w:t>
      </w:r>
      <w:r w:rsidRPr="00884C45">
        <w:rPr>
          <w:rFonts w:ascii="Sylfaen" w:hAnsi="Sylfaen"/>
          <w:sz w:val="24"/>
          <w:szCs w:val="24"/>
          <w:lang w:val="hy-AM"/>
        </w:rPr>
        <w:t xml:space="preserve"> չափումների վերջնական արդյունքների հաշվարկների,</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lastRenderedPageBreak/>
        <w:t>դ)</w:t>
      </w:r>
      <w:r w:rsidR="00475202">
        <w:rPr>
          <w:rFonts w:ascii="Sylfaen" w:hAnsi="Sylfaen"/>
          <w:sz w:val="24"/>
          <w:szCs w:val="24"/>
          <w:lang w:val="hy-AM"/>
        </w:rPr>
        <w:tab/>
      </w:r>
      <w:r w:rsidRPr="00884C45">
        <w:rPr>
          <w:rFonts w:ascii="Sylfaen" w:hAnsi="Sylfaen"/>
          <w:sz w:val="24"/>
          <w:szCs w:val="24"/>
          <w:lang w:val="hy-AM"/>
        </w:rPr>
        <w:t>չափումների մոդելի,</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ե)</w:t>
      </w:r>
      <w:r w:rsidR="00475202">
        <w:rPr>
          <w:rFonts w:ascii="Sylfaen" w:hAnsi="Sylfaen"/>
          <w:sz w:val="24"/>
          <w:szCs w:val="24"/>
          <w:lang w:val="hy-AM"/>
        </w:rPr>
        <w:tab/>
      </w:r>
      <w:r w:rsidRPr="00884C45">
        <w:rPr>
          <w:rFonts w:ascii="Sylfaen" w:hAnsi="Sylfaen"/>
          <w:sz w:val="24"/>
          <w:szCs w:val="24"/>
          <w:lang w:val="hy-AM"/>
        </w:rPr>
        <w:t xml:space="preserve">փորձարարական ուսումնասիրությունների ծրագրի </w:t>
      </w:r>
      <w:r w:rsidR="004C0281">
        <w:rPr>
          <w:rFonts w:ascii="Sylfaen" w:hAnsi="Sylfaen"/>
          <w:sz w:val="24"/>
          <w:szCs w:val="24"/>
          <w:lang w:val="hy-AM"/>
        </w:rPr>
        <w:t>և</w:t>
      </w:r>
      <w:r w:rsidRPr="00884C45">
        <w:rPr>
          <w:rFonts w:ascii="Sylfaen" w:hAnsi="Sylfaen"/>
          <w:sz w:val="24"/>
          <w:szCs w:val="24"/>
          <w:lang w:val="hy-AM"/>
        </w:rPr>
        <w:t xml:space="preserve"> ծավալի</w:t>
      </w:r>
      <w:r w:rsidR="00F571E3" w:rsidRPr="00884C45">
        <w:rPr>
          <w:rFonts w:ascii="Sylfaen" w:hAnsi="Sylfaen"/>
          <w:sz w:val="24"/>
          <w:szCs w:val="24"/>
          <w:lang w:val="hy-AM"/>
        </w:rPr>
        <w:t>,</w:t>
      </w:r>
      <w:r w:rsidRPr="00884C45">
        <w:rPr>
          <w:rFonts w:ascii="Sylfaen" w:hAnsi="Sylfaen"/>
          <w:sz w:val="24"/>
          <w:szCs w:val="24"/>
          <w:lang w:val="hy-AM"/>
        </w:rPr>
        <w:t xml:space="preserve"> ներառյալ</w:t>
      </w:r>
      <w:r w:rsidR="00F571E3" w:rsidRPr="00884C45">
        <w:rPr>
          <w:rFonts w:ascii="Sylfaen" w:hAnsi="Sylfaen"/>
          <w:sz w:val="24"/>
          <w:szCs w:val="24"/>
          <w:lang w:val="hy-AM"/>
        </w:rPr>
        <w:t>՝</w:t>
      </w:r>
      <w:r w:rsidRPr="00884C45">
        <w:rPr>
          <w:rFonts w:ascii="Sylfaen" w:hAnsi="Sylfaen"/>
          <w:sz w:val="24"/>
          <w:szCs w:val="24"/>
          <w:lang w:val="hy-AM"/>
        </w:rPr>
        <w:t xml:space="preserve"> փորձանմուշներ վերցնելու </w:t>
      </w:r>
      <w:r w:rsidR="004C0281">
        <w:rPr>
          <w:rFonts w:ascii="Sylfaen" w:hAnsi="Sylfaen"/>
          <w:sz w:val="24"/>
          <w:szCs w:val="24"/>
          <w:lang w:val="hy-AM"/>
        </w:rPr>
        <w:t>և</w:t>
      </w:r>
      <w:r w:rsidRPr="00884C45">
        <w:rPr>
          <w:rFonts w:ascii="Sylfaen" w:hAnsi="Sylfaen"/>
          <w:sz w:val="24"/>
          <w:szCs w:val="24"/>
          <w:lang w:val="hy-AM"/>
        </w:rPr>
        <w:t xml:space="preserve"> պատրաստելու փուլերը (մեթոդները),</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զ)</w:t>
      </w:r>
      <w:r w:rsidR="00475202">
        <w:rPr>
          <w:rFonts w:ascii="Sylfaen" w:hAnsi="Sylfaen"/>
          <w:sz w:val="24"/>
          <w:szCs w:val="24"/>
          <w:lang w:val="hy-AM"/>
        </w:rPr>
        <w:tab/>
      </w:r>
      <w:r w:rsidRPr="00884C45">
        <w:rPr>
          <w:rFonts w:ascii="Sylfaen" w:hAnsi="Sylfaen"/>
          <w:sz w:val="24"/>
          <w:szCs w:val="24"/>
          <w:lang w:val="hy-AM"/>
        </w:rPr>
        <w:t>կատարված տեսական ուսումնասիրությունների,</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է)</w:t>
      </w:r>
      <w:r w:rsidR="00475202">
        <w:rPr>
          <w:rFonts w:ascii="Sylfaen" w:hAnsi="Sylfaen"/>
          <w:sz w:val="24"/>
          <w:szCs w:val="24"/>
          <w:lang w:val="hy-AM"/>
        </w:rPr>
        <w:tab/>
      </w:r>
      <w:r w:rsidRPr="00884C45">
        <w:rPr>
          <w:rFonts w:ascii="Sylfaen" w:hAnsi="Sylfaen"/>
          <w:sz w:val="24"/>
          <w:szCs w:val="24"/>
          <w:lang w:val="hy-AM"/>
        </w:rPr>
        <w:t xml:space="preserve">չափումներ անցկացնելու պայմանների ընտրության </w:t>
      </w:r>
      <w:r w:rsidR="004C0281">
        <w:rPr>
          <w:rFonts w:ascii="Sylfaen" w:hAnsi="Sylfaen"/>
          <w:sz w:val="24"/>
          <w:szCs w:val="24"/>
          <w:lang w:val="hy-AM"/>
        </w:rPr>
        <w:t>և</w:t>
      </w:r>
      <w:r w:rsidRPr="00884C45">
        <w:rPr>
          <w:rFonts w:ascii="Sylfaen" w:hAnsi="Sylfaen"/>
          <w:sz w:val="24"/>
          <w:szCs w:val="24"/>
          <w:lang w:val="hy-AM"/>
        </w:rPr>
        <w:t xml:space="preserve"> գնահատման,</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ը)</w:t>
      </w:r>
      <w:r w:rsidR="00475202">
        <w:rPr>
          <w:rFonts w:ascii="Sylfaen" w:hAnsi="Sylfaen"/>
          <w:sz w:val="24"/>
          <w:szCs w:val="24"/>
          <w:lang w:val="hy-AM"/>
        </w:rPr>
        <w:tab/>
      </w:r>
      <w:r w:rsidRPr="00884C45">
        <w:rPr>
          <w:rFonts w:ascii="Sylfaen" w:hAnsi="Sylfaen"/>
          <w:sz w:val="24"/>
          <w:szCs w:val="24"/>
          <w:lang w:val="hy-AM"/>
        </w:rPr>
        <w:t xml:space="preserve">չափումների արդյունքների մշակման եղանակների </w:t>
      </w:r>
      <w:r w:rsidR="004C0281">
        <w:rPr>
          <w:rFonts w:ascii="Sylfaen" w:hAnsi="Sylfaen"/>
          <w:sz w:val="24"/>
          <w:szCs w:val="24"/>
          <w:lang w:val="hy-AM"/>
        </w:rPr>
        <w:t>և</w:t>
      </w:r>
      <w:r w:rsidRPr="00884C45">
        <w:rPr>
          <w:rFonts w:ascii="Sylfaen" w:hAnsi="Sylfaen"/>
          <w:sz w:val="24"/>
          <w:szCs w:val="24"/>
          <w:lang w:val="hy-AM"/>
        </w:rPr>
        <w:t xml:space="preserve"> միջոցների</w:t>
      </w:r>
      <w:r w:rsidR="008F046E" w:rsidRPr="00884C45">
        <w:rPr>
          <w:rFonts w:ascii="Sylfaen" w:hAnsi="Sylfaen"/>
          <w:sz w:val="24"/>
          <w:szCs w:val="24"/>
          <w:lang w:val="hy-AM"/>
        </w:rPr>
        <w:t>,</w:t>
      </w:r>
      <w:r w:rsidRPr="00884C45">
        <w:rPr>
          <w:rFonts w:ascii="Sylfaen" w:hAnsi="Sylfaen"/>
          <w:sz w:val="24"/>
          <w:szCs w:val="24"/>
          <w:lang w:val="hy-AM"/>
        </w:rPr>
        <w:t xml:space="preserve"> ներառյալ</w:t>
      </w:r>
      <w:r w:rsidR="008F046E" w:rsidRPr="00884C45">
        <w:rPr>
          <w:rFonts w:ascii="Sylfaen" w:hAnsi="Sylfaen"/>
          <w:sz w:val="24"/>
          <w:szCs w:val="24"/>
          <w:lang w:val="hy-AM"/>
        </w:rPr>
        <w:t>՝</w:t>
      </w:r>
      <w:r w:rsidRPr="00884C45">
        <w:rPr>
          <w:rFonts w:ascii="Sylfaen" w:hAnsi="Sylfaen"/>
          <w:sz w:val="24"/>
          <w:szCs w:val="24"/>
          <w:lang w:val="hy-AM"/>
        </w:rPr>
        <w:t xml:space="preserve"> ծրագրային ապահովման ընտրության,</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թ)</w:t>
      </w:r>
      <w:r w:rsidR="00475202">
        <w:rPr>
          <w:rFonts w:ascii="Sylfaen" w:hAnsi="Sylfaen"/>
          <w:sz w:val="24"/>
          <w:szCs w:val="24"/>
          <w:lang w:val="hy-AM"/>
        </w:rPr>
        <w:tab/>
      </w:r>
      <w:r w:rsidRPr="00884C45">
        <w:rPr>
          <w:rFonts w:ascii="Sylfaen" w:hAnsi="Sylfaen"/>
          <w:sz w:val="24"/>
          <w:szCs w:val="24"/>
          <w:lang w:val="hy-AM"/>
        </w:rPr>
        <w:t xml:space="preserve">չափումների ճշգրտության ցուցանիշների ընտրության </w:t>
      </w:r>
      <w:r w:rsidR="004C0281">
        <w:rPr>
          <w:rFonts w:ascii="Sylfaen" w:hAnsi="Sylfaen"/>
          <w:sz w:val="24"/>
          <w:szCs w:val="24"/>
          <w:lang w:val="hy-AM"/>
        </w:rPr>
        <w:t>և</w:t>
      </w:r>
      <w:r w:rsidRPr="00884C45">
        <w:rPr>
          <w:rFonts w:ascii="Sylfaen" w:hAnsi="Sylfaen"/>
          <w:sz w:val="24"/>
          <w:szCs w:val="24"/>
          <w:lang w:val="hy-AM"/>
        </w:rPr>
        <w:t xml:space="preserve"> դրանց նշանակությունների սահմանման,</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ժ)</w:t>
      </w:r>
      <w:r w:rsidR="00475202">
        <w:rPr>
          <w:rFonts w:ascii="Sylfaen" w:hAnsi="Sylfaen"/>
          <w:sz w:val="24"/>
          <w:szCs w:val="24"/>
          <w:lang w:val="hy-AM"/>
        </w:rPr>
        <w:tab/>
      </w:r>
      <w:r w:rsidRPr="00884C45">
        <w:rPr>
          <w:rFonts w:ascii="Sylfaen" w:hAnsi="Sylfaen"/>
          <w:sz w:val="24"/>
          <w:szCs w:val="24"/>
          <w:lang w:val="hy-AM"/>
        </w:rPr>
        <w:t>վկայագրման արդյունքում սահմանված՝ չափումների ճշգրտության ցուցանիշների ապահովման ընթացակարգերի (այդ թվում՝ չափումների արդյունքի՝ մեծությունների միավորների պետական առաջնային չափանմուշների նկատմամբ հետ</w:t>
      </w:r>
      <w:r w:rsidR="004C0281">
        <w:rPr>
          <w:rFonts w:ascii="Sylfaen" w:hAnsi="Sylfaen"/>
          <w:sz w:val="24"/>
          <w:szCs w:val="24"/>
          <w:lang w:val="hy-AM"/>
        </w:rPr>
        <w:t>և</w:t>
      </w:r>
      <w:r w:rsidRPr="00884C45">
        <w:rPr>
          <w:rFonts w:ascii="Sylfaen" w:hAnsi="Sylfaen"/>
          <w:sz w:val="24"/>
          <w:szCs w:val="24"/>
          <w:lang w:val="hy-AM"/>
        </w:rPr>
        <w:t>ելիության ապահովման մեթոդների, ինչպես նա</w:t>
      </w:r>
      <w:r w:rsidR="004C0281">
        <w:rPr>
          <w:rFonts w:ascii="Sylfaen" w:hAnsi="Sylfaen"/>
          <w:sz w:val="24"/>
          <w:szCs w:val="24"/>
          <w:lang w:val="hy-AM"/>
        </w:rPr>
        <w:t>և</w:t>
      </w:r>
      <w:r w:rsidRPr="00884C45">
        <w:rPr>
          <w:rFonts w:ascii="Sylfaen" w:hAnsi="Sylfaen"/>
          <w:sz w:val="24"/>
          <w:szCs w:val="24"/>
          <w:lang w:val="hy-AM"/>
        </w:rPr>
        <w:t xml:space="preserve"> ճշգրտության ցուցանիշների հսկողության միջոցների) ընտրության </w:t>
      </w:r>
      <w:r w:rsidR="004C0281">
        <w:rPr>
          <w:rFonts w:ascii="Sylfaen" w:hAnsi="Sylfaen"/>
          <w:sz w:val="24"/>
          <w:szCs w:val="24"/>
          <w:lang w:val="hy-AM"/>
        </w:rPr>
        <w:t>և</w:t>
      </w:r>
      <w:r w:rsidRPr="00884C45">
        <w:rPr>
          <w:rFonts w:ascii="Sylfaen" w:hAnsi="Sylfaen"/>
          <w:sz w:val="24"/>
          <w:szCs w:val="24"/>
          <w:lang w:val="hy-AM"/>
        </w:rPr>
        <w:t xml:space="preserve"> (անհրաժեշտության դեպքում) ընդունվող որոշումների արժանահավատության:</w:t>
      </w:r>
    </w:p>
    <w:p w:rsidR="00BF727A" w:rsidRPr="00884C45" w:rsidRDefault="00BF727A" w:rsidP="00475202">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8.</w:t>
      </w:r>
      <w:r w:rsidR="00475202">
        <w:rPr>
          <w:rFonts w:ascii="Sylfaen" w:hAnsi="Sylfaen"/>
          <w:sz w:val="24"/>
          <w:szCs w:val="24"/>
          <w:lang w:val="hy-AM"/>
        </w:rPr>
        <w:tab/>
      </w:r>
      <w:r w:rsidRPr="00884C45">
        <w:rPr>
          <w:rFonts w:ascii="Sylfaen" w:hAnsi="Sylfaen"/>
          <w:sz w:val="24"/>
          <w:szCs w:val="24"/>
          <w:lang w:val="hy-AM"/>
        </w:rPr>
        <w:t>Մի</w:t>
      </w:r>
      <w:r w:rsidR="004C0281">
        <w:rPr>
          <w:rFonts w:ascii="Sylfaen" w:hAnsi="Sylfaen"/>
          <w:sz w:val="24"/>
          <w:szCs w:val="24"/>
          <w:lang w:val="hy-AM"/>
        </w:rPr>
        <w:t>և</w:t>
      </w:r>
      <w:r w:rsidRPr="00884C45">
        <w:rPr>
          <w:rFonts w:ascii="Sylfaen" w:hAnsi="Sylfaen"/>
          <w:sz w:val="24"/>
          <w:szCs w:val="24"/>
          <w:lang w:val="hy-AM"/>
        </w:rPr>
        <w:t xml:space="preserve">նույն տեսակի մեծությունների չափումների այլ մեթոդիկաների (մեթոդների) օգնությամբ ստացված մեծության չափված արժեքների ճշտությունը գնահատելու համար, չափումների միջոցների տրամաչափարկման կամ ստանդարտ նմուշների բնութագրերը սահմանելու համար հղումային մեթոդիկայի օգտագործման հնարավորությունը հաստատելիս լիազորված կազմակերպության կողմից անցկացվում է տեսական </w:t>
      </w:r>
      <w:r w:rsidR="004C0281">
        <w:rPr>
          <w:rFonts w:ascii="Sylfaen" w:hAnsi="Sylfaen"/>
          <w:sz w:val="24"/>
          <w:szCs w:val="24"/>
          <w:lang w:val="hy-AM"/>
        </w:rPr>
        <w:t>և</w:t>
      </w:r>
      <w:r w:rsidRPr="00884C45">
        <w:rPr>
          <w:rFonts w:ascii="Sylfaen" w:hAnsi="Sylfaen"/>
          <w:sz w:val="24"/>
          <w:szCs w:val="24"/>
          <w:lang w:val="hy-AM"/>
        </w:rPr>
        <w:t xml:space="preserve"> (կամ) փորձարարական ուսումնասիրությունների նյութերի առկայության ստուգում՝ սույն </w:t>
      </w:r>
      <w:r w:rsidR="00915E6B" w:rsidRPr="00884C45">
        <w:rPr>
          <w:rFonts w:ascii="Sylfaen" w:hAnsi="Sylfaen"/>
          <w:sz w:val="24"/>
          <w:szCs w:val="24"/>
          <w:lang w:val="hy-AM"/>
        </w:rPr>
        <w:t>կ</w:t>
      </w:r>
      <w:r w:rsidRPr="00884C45">
        <w:rPr>
          <w:rFonts w:ascii="Sylfaen" w:hAnsi="Sylfaen"/>
          <w:sz w:val="24"/>
          <w:szCs w:val="24"/>
          <w:lang w:val="hy-AM"/>
        </w:rPr>
        <w:t>արգի 6-րդ կետի «բ» - «է» ենթակետերին համապատասխան:</w:t>
      </w:r>
    </w:p>
    <w:p w:rsidR="00BF727A" w:rsidRPr="00884C45" w:rsidRDefault="00BF727A" w:rsidP="00F54D5C">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9.</w:t>
      </w:r>
      <w:r w:rsidR="00F54D5C">
        <w:rPr>
          <w:rFonts w:ascii="Sylfaen" w:hAnsi="Sylfaen"/>
          <w:sz w:val="24"/>
          <w:szCs w:val="24"/>
          <w:lang w:val="hy-AM"/>
        </w:rPr>
        <w:tab/>
      </w:r>
      <w:r w:rsidRPr="00884C45">
        <w:rPr>
          <w:rFonts w:ascii="Sylfaen" w:hAnsi="Sylfaen"/>
          <w:sz w:val="24"/>
          <w:szCs w:val="24"/>
          <w:lang w:val="hy-AM"/>
        </w:rPr>
        <w:t>Հղումային մեթոդիկայի վկայագրում անցկացնելու համար հայտատուի կողմից լիազորված կազմակերպություն են ներկայացվում հետ</w:t>
      </w:r>
      <w:r w:rsidR="004C0281">
        <w:rPr>
          <w:rFonts w:ascii="Sylfaen" w:hAnsi="Sylfaen"/>
          <w:sz w:val="24"/>
          <w:szCs w:val="24"/>
          <w:lang w:val="hy-AM"/>
        </w:rPr>
        <w:t>և</w:t>
      </w:r>
      <w:r w:rsidRPr="00884C45">
        <w:rPr>
          <w:rFonts w:ascii="Sylfaen" w:hAnsi="Sylfaen"/>
          <w:sz w:val="24"/>
          <w:szCs w:val="24"/>
          <w:lang w:val="hy-AM"/>
        </w:rPr>
        <w:t>յալ փաստաթղթերը՝</w:t>
      </w:r>
    </w:p>
    <w:p w:rsidR="00BF727A" w:rsidRPr="00884C45" w:rsidRDefault="00BF727A" w:rsidP="00F54D5C">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lastRenderedPageBreak/>
        <w:t>ա)</w:t>
      </w:r>
      <w:r w:rsidR="00F54D5C">
        <w:rPr>
          <w:rFonts w:ascii="Sylfaen" w:hAnsi="Sylfaen"/>
          <w:sz w:val="24"/>
          <w:szCs w:val="24"/>
          <w:lang w:val="hy-AM"/>
        </w:rPr>
        <w:tab/>
      </w:r>
      <w:r w:rsidRPr="00884C45">
        <w:rPr>
          <w:rFonts w:ascii="Sylfaen" w:hAnsi="Sylfaen"/>
          <w:sz w:val="24"/>
          <w:szCs w:val="24"/>
          <w:lang w:val="hy-AM"/>
        </w:rPr>
        <w:t>հայտը (նշելով հղումային մեթոդիկայի անվանումը, հայտատուի մասին տեղեկությունները, ինչպես նա</w:t>
      </w:r>
      <w:r w:rsidR="004C0281">
        <w:rPr>
          <w:rFonts w:ascii="Sylfaen" w:hAnsi="Sylfaen"/>
          <w:sz w:val="24"/>
          <w:szCs w:val="24"/>
          <w:lang w:val="hy-AM"/>
        </w:rPr>
        <w:t>և</w:t>
      </w:r>
      <w:r w:rsidRPr="00884C45">
        <w:rPr>
          <w:rFonts w:ascii="Sylfaen" w:hAnsi="Sylfaen"/>
          <w:sz w:val="24"/>
          <w:szCs w:val="24"/>
          <w:lang w:val="hy-AM"/>
        </w:rPr>
        <w:t xml:space="preserve"> նշելով վկայագրման աշխատանքները ճանաչելու անհրաժեշտությունը՝ Հանձնաժողովի կողմից հաստատվող՝ չափումների միասնականության ապահովման աշխատանքների արդյունքների փոխադարձ ճանաչման կանոններին համապատասխան),</w:t>
      </w:r>
    </w:p>
    <w:p w:rsidR="00BF727A" w:rsidRPr="00884C45" w:rsidRDefault="00BF727A" w:rsidP="00F54D5C">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բ)</w:t>
      </w:r>
      <w:r w:rsidR="00F54D5C">
        <w:rPr>
          <w:rFonts w:ascii="Sylfaen" w:hAnsi="Sylfaen"/>
          <w:sz w:val="24"/>
          <w:szCs w:val="24"/>
          <w:lang w:val="hy-AM"/>
        </w:rPr>
        <w:tab/>
      </w:r>
      <w:r w:rsidRPr="00884C45">
        <w:rPr>
          <w:rFonts w:ascii="Sylfaen" w:hAnsi="Sylfaen"/>
          <w:sz w:val="24"/>
          <w:szCs w:val="24"/>
          <w:lang w:val="hy-AM"/>
        </w:rPr>
        <w:t>տեխնիկական առաջադրանքը,</w:t>
      </w:r>
    </w:p>
    <w:p w:rsidR="00BF727A" w:rsidRPr="00884C45" w:rsidRDefault="00BF727A" w:rsidP="00F54D5C">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գ)</w:t>
      </w:r>
      <w:r w:rsidR="00F54D5C">
        <w:rPr>
          <w:rFonts w:ascii="Sylfaen" w:hAnsi="Sylfaen"/>
          <w:sz w:val="24"/>
          <w:szCs w:val="24"/>
          <w:lang w:val="hy-AM"/>
        </w:rPr>
        <w:tab/>
      </w:r>
      <w:r w:rsidRPr="00884C45">
        <w:rPr>
          <w:rFonts w:ascii="Sylfaen" w:hAnsi="Sylfaen"/>
          <w:sz w:val="24"/>
          <w:szCs w:val="24"/>
          <w:lang w:val="hy-AM"/>
        </w:rPr>
        <w:t>տեխնիկական առաջադրանքով նախատեսված ծավալով փաստաթղթերը,</w:t>
      </w:r>
    </w:p>
    <w:p w:rsidR="00BF727A" w:rsidRPr="00884C45" w:rsidRDefault="00BF727A" w:rsidP="00F54D5C">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դ)</w:t>
      </w:r>
      <w:r w:rsidR="00F54D5C">
        <w:rPr>
          <w:rFonts w:ascii="Sylfaen" w:hAnsi="Sylfaen"/>
          <w:sz w:val="24"/>
          <w:szCs w:val="24"/>
          <w:lang w:val="hy-AM"/>
        </w:rPr>
        <w:tab/>
      </w:r>
      <w:r w:rsidRPr="00884C45">
        <w:rPr>
          <w:rFonts w:ascii="Sylfaen" w:hAnsi="Sylfaen"/>
          <w:sz w:val="24"/>
          <w:szCs w:val="24"/>
          <w:lang w:val="hy-AM"/>
        </w:rPr>
        <w:t>փաստաթղթի նախագիծը (փաստաթուղթը)՝ հղումային մեթոդիկայի շարադրմամբ,</w:t>
      </w:r>
    </w:p>
    <w:p w:rsidR="00BF727A" w:rsidRPr="00884C45" w:rsidRDefault="00BF727A" w:rsidP="00F54D5C">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ե)</w:t>
      </w:r>
      <w:r w:rsidR="00F54D5C">
        <w:rPr>
          <w:rFonts w:ascii="Sylfaen" w:hAnsi="Sylfaen"/>
          <w:sz w:val="24"/>
          <w:szCs w:val="24"/>
          <w:lang w:val="hy-AM"/>
        </w:rPr>
        <w:tab/>
      </w:r>
      <w:r w:rsidRPr="00884C45">
        <w:rPr>
          <w:rFonts w:ascii="Sylfaen" w:hAnsi="Sylfaen"/>
          <w:sz w:val="24"/>
          <w:szCs w:val="24"/>
          <w:lang w:val="hy-AM"/>
        </w:rPr>
        <w:t xml:space="preserve">հղումային մեթոդիկայի՝ սույն </w:t>
      </w:r>
      <w:r w:rsidR="00915E6B" w:rsidRPr="00884C45">
        <w:rPr>
          <w:rFonts w:ascii="Sylfaen" w:hAnsi="Sylfaen"/>
          <w:sz w:val="24"/>
          <w:szCs w:val="24"/>
          <w:lang w:val="hy-AM"/>
        </w:rPr>
        <w:t>կ</w:t>
      </w:r>
      <w:r w:rsidRPr="00884C45">
        <w:rPr>
          <w:rFonts w:ascii="Sylfaen" w:hAnsi="Sylfaen"/>
          <w:sz w:val="24"/>
          <w:szCs w:val="24"/>
          <w:lang w:val="hy-AM"/>
        </w:rPr>
        <w:t xml:space="preserve">արգի 6-րդ կետի «ա» ենթակետին համապատասխան անցկացվող տեսական </w:t>
      </w:r>
      <w:r w:rsidR="004C0281">
        <w:rPr>
          <w:rFonts w:ascii="Sylfaen" w:hAnsi="Sylfaen"/>
          <w:sz w:val="24"/>
          <w:szCs w:val="24"/>
          <w:lang w:val="hy-AM"/>
        </w:rPr>
        <w:t>և</w:t>
      </w:r>
      <w:r w:rsidRPr="00884C45">
        <w:rPr>
          <w:rFonts w:ascii="Sylfaen" w:hAnsi="Sylfaen"/>
          <w:sz w:val="24"/>
          <w:szCs w:val="24"/>
          <w:lang w:val="hy-AM"/>
        </w:rPr>
        <w:t xml:space="preserve"> (կամ) փորձարարական ուսումնասիրությունների ծրագիրը </w:t>
      </w:r>
      <w:r w:rsidR="004C0281">
        <w:rPr>
          <w:rFonts w:ascii="Sylfaen" w:hAnsi="Sylfaen"/>
          <w:sz w:val="24"/>
          <w:szCs w:val="24"/>
          <w:lang w:val="hy-AM"/>
        </w:rPr>
        <w:t>և</w:t>
      </w:r>
      <w:r w:rsidRPr="00884C45">
        <w:rPr>
          <w:rFonts w:ascii="Sylfaen" w:hAnsi="Sylfaen"/>
          <w:sz w:val="24"/>
          <w:szCs w:val="24"/>
          <w:lang w:val="hy-AM"/>
        </w:rPr>
        <w:t xml:space="preserve"> արդյունքները (փորձարարական ուսումնասիրությունների արձանագրությունները, սխալանքների կամ անորոշությունների փորձարարական կամ հաշվարկային գնահատման արդյունքները, ինչպես նա</w:t>
      </w:r>
      <w:r w:rsidR="004C0281">
        <w:rPr>
          <w:rFonts w:ascii="Sylfaen" w:hAnsi="Sylfaen"/>
          <w:sz w:val="24"/>
          <w:szCs w:val="24"/>
          <w:lang w:val="hy-AM"/>
        </w:rPr>
        <w:t>և</w:t>
      </w:r>
      <w:r w:rsidRPr="00884C45">
        <w:rPr>
          <w:rFonts w:ascii="Sylfaen" w:hAnsi="Sylfaen"/>
          <w:sz w:val="24"/>
          <w:szCs w:val="24"/>
          <w:lang w:val="hy-AM"/>
        </w:rPr>
        <w:t xml:space="preserve"> ճշգրտության ցուցանիշների գնահատմանն ուղղված միջլաբորատոր </w:t>
      </w:r>
      <w:r w:rsidR="004C0281">
        <w:rPr>
          <w:rFonts w:ascii="Sylfaen" w:hAnsi="Sylfaen"/>
          <w:sz w:val="24"/>
          <w:szCs w:val="24"/>
          <w:lang w:val="hy-AM"/>
        </w:rPr>
        <w:t>և</w:t>
      </w:r>
      <w:r w:rsidRPr="00884C45">
        <w:rPr>
          <w:rFonts w:ascii="Sylfaen" w:hAnsi="Sylfaen"/>
          <w:sz w:val="24"/>
          <w:szCs w:val="24"/>
          <w:lang w:val="hy-AM"/>
        </w:rPr>
        <w:t xml:space="preserve"> (կամ) ներլաբորատոր փորձարկումների ծրագիրը </w:t>
      </w:r>
      <w:r w:rsidR="004C0281">
        <w:rPr>
          <w:rFonts w:ascii="Sylfaen" w:hAnsi="Sylfaen"/>
          <w:sz w:val="24"/>
          <w:szCs w:val="24"/>
          <w:lang w:val="hy-AM"/>
        </w:rPr>
        <w:t>և</w:t>
      </w:r>
      <w:r w:rsidRPr="00884C45">
        <w:rPr>
          <w:rFonts w:ascii="Sylfaen" w:hAnsi="Sylfaen"/>
          <w:sz w:val="24"/>
          <w:szCs w:val="24"/>
          <w:lang w:val="hy-AM"/>
        </w:rPr>
        <w:t xml:space="preserve"> արդյունքները (եթե այդպիսի փորձարկումներ նախատեսված են տեխնիկական առաջադրանքով)), որոնք հաստատում են սույն </w:t>
      </w:r>
      <w:r w:rsidR="00915E6B" w:rsidRPr="00884C45">
        <w:rPr>
          <w:rFonts w:ascii="Sylfaen" w:hAnsi="Sylfaen"/>
          <w:sz w:val="24"/>
          <w:szCs w:val="24"/>
          <w:lang w:val="hy-AM"/>
        </w:rPr>
        <w:t>կ</w:t>
      </w:r>
      <w:r w:rsidRPr="00884C45">
        <w:rPr>
          <w:rFonts w:ascii="Sylfaen" w:hAnsi="Sylfaen"/>
          <w:sz w:val="24"/>
          <w:szCs w:val="24"/>
          <w:lang w:val="hy-AM"/>
        </w:rPr>
        <w:t>արգի 6-րդ կետի «բ» - «է» ենթակետերի պահանջների կատարումը:</w:t>
      </w:r>
    </w:p>
    <w:p w:rsidR="00BF727A" w:rsidRPr="00884C45" w:rsidRDefault="00BF727A" w:rsidP="00F54D5C">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10.</w:t>
      </w:r>
      <w:r w:rsidR="00F54D5C">
        <w:rPr>
          <w:rFonts w:ascii="Sylfaen" w:hAnsi="Sylfaen"/>
          <w:sz w:val="24"/>
          <w:szCs w:val="24"/>
          <w:lang w:val="hy-AM"/>
        </w:rPr>
        <w:tab/>
      </w:r>
      <w:r w:rsidRPr="00884C45">
        <w:rPr>
          <w:rFonts w:ascii="Sylfaen" w:hAnsi="Sylfaen"/>
          <w:sz w:val="24"/>
          <w:szCs w:val="24"/>
          <w:lang w:val="hy-AM"/>
        </w:rPr>
        <w:t xml:space="preserve">Լիազորված կազմակերպության կողմից աշխատանքներն իրականացվում են սույն </w:t>
      </w:r>
      <w:r w:rsidR="00E649F9" w:rsidRPr="00884C45">
        <w:rPr>
          <w:rFonts w:ascii="Sylfaen" w:hAnsi="Sylfaen"/>
          <w:sz w:val="24"/>
          <w:szCs w:val="24"/>
          <w:lang w:val="hy-AM"/>
        </w:rPr>
        <w:t>կ</w:t>
      </w:r>
      <w:r w:rsidRPr="00884C45">
        <w:rPr>
          <w:rFonts w:ascii="Sylfaen" w:hAnsi="Sylfaen"/>
          <w:sz w:val="24"/>
          <w:szCs w:val="24"/>
          <w:lang w:val="hy-AM"/>
        </w:rPr>
        <w:t xml:space="preserve">արգի 7-րդ </w:t>
      </w:r>
      <w:r w:rsidR="004C0281">
        <w:rPr>
          <w:rFonts w:ascii="Sylfaen" w:hAnsi="Sylfaen"/>
          <w:sz w:val="24"/>
          <w:szCs w:val="24"/>
          <w:lang w:val="hy-AM"/>
        </w:rPr>
        <w:t>և</w:t>
      </w:r>
      <w:r w:rsidRPr="00884C45">
        <w:rPr>
          <w:rFonts w:ascii="Sylfaen" w:hAnsi="Sylfaen"/>
          <w:sz w:val="24"/>
          <w:szCs w:val="24"/>
          <w:lang w:val="hy-AM"/>
        </w:rPr>
        <w:t xml:space="preserve"> 8-րդ կետերի համաձայն՝ վերամշակված հղումային մեթոդիկայի համար, կամ վերջինիս որոշմամբ՝ սույն </w:t>
      </w:r>
      <w:r w:rsidR="00E649F9" w:rsidRPr="00884C45">
        <w:rPr>
          <w:rFonts w:ascii="Sylfaen" w:hAnsi="Sylfaen"/>
          <w:sz w:val="24"/>
          <w:szCs w:val="24"/>
          <w:lang w:val="hy-AM"/>
        </w:rPr>
        <w:t>կ</w:t>
      </w:r>
      <w:r w:rsidRPr="00884C45">
        <w:rPr>
          <w:rFonts w:ascii="Sylfaen" w:hAnsi="Sylfaen"/>
          <w:sz w:val="24"/>
          <w:szCs w:val="24"/>
          <w:lang w:val="hy-AM"/>
        </w:rPr>
        <w:t>արգի 8-րդ կետի համաձայն՝ չափագիտական վկայագրում անցած մեթոդիկայի համար:</w:t>
      </w:r>
    </w:p>
    <w:p w:rsidR="00BF727A" w:rsidRPr="00884C45" w:rsidRDefault="00BF727A" w:rsidP="00F54D5C">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11.</w:t>
      </w:r>
      <w:r w:rsidR="00F54D5C">
        <w:rPr>
          <w:rFonts w:ascii="Sylfaen" w:hAnsi="Sylfaen"/>
          <w:sz w:val="24"/>
          <w:szCs w:val="24"/>
          <w:lang w:val="hy-AM"/>
        </w:rPr>
        <w:tab/>
      </w:r>
      <w:r w:rsidRPr="00884C45">
        <w:rPr>
          <w:rFonts w:ascii="Sylfaen" w:hAnsi="Sylfaen"/>
          <w:sz w:val="24"/>
          <w:szCs w:val="24"/>
          <w:lang w:val="hy-AM"/>
        </w:rPr>
        <w:t xml:space="preserve">Այն դեպքում, երբ հղումային մեթոդիկայի վկայագրումն անցկացվում է չափումների վերամշակված մեթոդիկայի (մեթոդի) մասով, սույն </w:t>
      </w:r>
      <w:r w:rsidR="00E649F9" w:rsidRPr="00884C45">
        <w:rPr>
          <w:rFonts w:ascii="Sylfaen" w:hAnsi="Sylfaen"/>
          <w:sz w:val="24"/>
          <w:szCs w:val="24"/>
          <w:lang w:val="hy-AM"/>
        </w:rPr>
        <w:t>կ</w:t>
      </w:r>
      <w:r w:rsidRPr="00884C45">
        <w:rPr>
          <w:rFonts w:ascii="Sylfaen" w:hAnsi="Sylfaen"/>
          <w:sz w:val="24"/>
          <w:szCs w:val="24"/>
          <w:lang w:val="hy-AM"/>
        </w:rPr>
        <w:t xml:space="preserve">արգի 6-րդ կետի «ա» ենթակետում նշված աշխատանքների կատարման դրական արդյունքների </w:t>
      </w:r>
      <w:r w:rsidRPr="00884C45">
        <w:rPr>
          <w:rFonts w:ascii="Sylfaen" w:hAnsi="Sylfaen"/>
          <w:sz w:val="24"/>
          <w:szCs w:val="24"/>
          <w:lang w:val="hy-AM"/>
        </w:rPr>
        <w:lastRenderedPageBreak/>
        <w:t>դեպքում լիազորված կազմակերպության կողմից ձ</w:t>
      </w:r>
      <w:r w:rsidR="004C0281">
        <w:rPr>
          <w:rFonts w:ascii="Sylfaen" w:hAnsi="Sylfaen"/>
          <w:sz w:val="24"/>
          <w:szCs w:val="24"/>
          <w:lang w:val="hy-AM"/>
        </w:rPr>
        <w:t>և</w:t>
      </w:r>
      <w:r w:rsidRPr="00884C45">
        <w:rPr>
          <w:rFonts w:ascii="Sylfaen" w:hAnsi="Sylfaen"/>
          <w:sz w:val="24"/>
          <w:szCs w:val="24"/>
          <w:lang w:val="hy-AM"/>
        </w:rPr>
        <w:t>ակերպվում է չափումների մեթոդիկայի (մեթոդի) չափագիտական վկայագրման մասին վկայական՝ Հանձնաժողովի կողմից հաստատվող՝ չափումների մեթոդիկայի (մեթոդի) չափագիտական վկայագրման կարգի հավելվածով նախատեսված ձ</w:t>
      </w:r>
      <w:r w:rsidR="004C0281">
        <w:rPr>
          <w:rFonts w:ascii="Sylfaen" w:hAnsi="Sylfaen"/>
          <w:sz w:val="24"/>
          <w:szCs w:val="24"/>
          <w:lang w:val="hy-AM"/>
        </w:rPr>
        <w:t>և</w:t>
      </w:r>
      <w:r w:rsidRPr="00884C45">
        <w:rPr>
          <w:rFonts w:ascii="Sylfaen" w:hAnsi="Sylfaen"/>
          <w:sz w:val="24"/>
          <w:szCs w:val="24"/>
          <w:lang w:val="hy-AM"/>
        </w:rPr>
        <w:t>ի համաձայն, որը տրվում է հայտատուին լիազոր մարմնի կողմից մեթոդիկայի հաստատվելուց հետո:</w:t>
      </w:r>
    </w:p>
    <w:p w:rsidR="00BF727A" w:rsidRPr="00884C45" w:rsidRDefault="00BF727A" w:rsidP="00F54D5C">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12.</w:t>
      </w:r>
      <w:r w:rsidR="00F54D5C">
        <w:rPr>
          <w:rFonts w:ascii="Sylfaen" w:hAnsi="Sylfaen"/>
          <w:sz w:val="24"/>
          <w:szCs w:val="24"/>
          <w:lang w:val="hy-AM"/>
        </w:rPr>
        <w:tab/>
      </w:r>
      <w:r w:rsidRPr="00884C45">
        <w:rPr>
          <w:rFonts w:ascii="Sylfaen" w:hAnsi="Sylfaen"/>
          <w:sz w:val="24"/>
          <w:szCs w:val="24"/>
          <w:lang w:val="hy-AM"/>
        </w:rPr>
        <w:t>Հղումային մեթոդիկայի վկայագրում անցկացնելու ավարտին լիազորված կազմակերպության կողմից լիազոր մարմին են ներկայացվում հետ</w:t>
      </w:r>
      <w:r w:rsidR="004C0281">
        <w:rPr>
          <w:rFonts w:ascii="Sylfaen" w:hAnsi="Sylfaen"/>
          <w:sz w:val="24"/>
          <w:szCs w:val="24"/>
          <w:lang w:val="hy-AM"/>
        </w:rPr>
        <w:t>և</w:t>
      </w:r>
      <w:r w:rsidRPr="00884C45">
        <w:rPr>
          <w:rFonts w:ascii="Sylfaen" w:hAnsi="Sylfaen"/>
          <w:sz w:val="24"/>
          <w:szCs w:val="24"/>
          <w:lang w:val="hy-AM"/>
        </w:rPr>
        <w:t>յալ փաստաթղթերը՝</w:t>
      </w:r>
    </w:p>
    <w:p w:rsidR="00BF727A" w:rsidRPr="00884C45" w:rsidRDefault="00BF727A" w:rsidP="00F54D5C">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ա)</w:t>
      </w:r>
      <w:r w:rsidR="00F54D5C">
        <w:rPr>
          <w:rFonts w:ascii="Sylfaen" w:hAnsi="Sylfaen"/>
          <w:sz w:val="24"/>
          <w:szCs w:val="24"/>
          <w:lang w:val="hy-AM"/>
        </w:rPr>
        <w:tab/>
      </w:r>
      <w:r w:rsidRPr="00884C45">
        <w:rPr>
          <w:rFonts w:ascii="Sylfaen" w:hAnsi="Sylfaen"/>
          <w:sz w:val="24"/>
          <w:szCs w:val="24"/>
          <w:lang w:val="hy-AM"/>
        </w:rPr>
        <w:t>փաստաթուղթ՝ հղումային մեթոդիկայի շարադրմամբ,</w:t>
      </w:r>
    </w:p>
    <w:p w:rsidR="00BF727A" w:rsidRPr="00884C45" w:rsidRDefault="00BF727A" w:rsidP="00F54D5C">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բ)</w:t>
      </w:r>
      <w:r w:rsidR="00F54D5C">
        <w:rPr>
          <w:rFonts w:ascii="Sylfaen" w:hAnsi="Sylfaen"/>
          <w:sz w:val="24"/>
          <w:szCs w:val="24"/>
          <w:lang w:val="hy-AM"/>
        </w:rPr>
        <w:tab/>
      </w:r>
      <w:r w:rsidRPr="00884C45">
        <w:rPr>
          <w:rFonts w:ascii="Sylfaen" w:hAnsi="Sylfaen"/>
          <w:sz w:val="24"/>
          <w:szCs w:val="24"/>
          <w:lang w:val="hy-AM"/>
        </w:rPr>
        <w:t>հղումային մեթոդիկայի՝ չափումներին ներկայացվող չափագիտական պահանջներին համապատասխանության մասին եզրակացությունը,</w:t>
      </w:r>
    </w:p>
    <w:p w:rsidR="00BF727A" w:rsidRPr="00884C45" w:rsidRDefault="00BF727A" w:rsidP="00F54D5C">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գ)</w:t>
      </w:r>
      <w:r w:rsidR="00F54D5C">
        <w:rPr>
          <w:rFonts w:ascii="Sylfaen" w:hAnsi="Sylfaen"/>
          <w:sz w:val="24"/>
          <w:szCs w:val="24"/>
          <w:lang w:val="hy-AM"/>
        </w:rPr>
        <w:tab/>
      </w:r>
      <w:r w:rsidRPr="00884C45">
        <w:rPr>
          <w:rFonts w:ascii="Sylfaen" w:hAnsi="Sylfaen"/>
          <w:sz w:val="24"/>
          <w:szCs w:val="24"/>
          <w:lang w:val="hy-AM"/>
        </w:rPr>
        <w:t xml:space="preserve">լիազորված կազմակերպության ղեկավարի կողմից հաստատված </w:t>
      </w:r>
      <w:r w:rsidR="004C0281">
        <w:rPr>
          <w:rFonts w:ascii="Sylfaen" w:hAnsi="Sylfaen"/>
          <w:sz w:val="24"/>
          <w:szCs w:val="24"/>
          <w:lang w:val="hy-AM"/>
        </w:rPr>
        <w:t>և</w:t>
      </w:r>
      <w:r w:rsidRPr="00884C45">
        <w:rPr>
          <w:rFonts w:ascii="Sylfaen" w:hAnsi="Sylfaen"/>
          <w:sz w:val="24"/>
          <w:szCs w:val="24"/>
          <w:lang w:val="hy-AM"/>
        </w:rPr>
        <w:t xml:space="preserve"> տեսական </w:t>
      </w:r>
      <w:r w:rsidR="004C0281">
        <w:rPr>
          <w:rFonts w:ascii="Sylfaen" w:hAnsi="Sylfaen"/>
          <w:sz w:val="24"/>
          <w:szCs w:val="24"/>
          <w:lang w:val="hy-AM"/>
        </w:rPr>
        <w:t>և</w:t>
      </w:r>
      <w:r w:rsidRPr="00884C45">
        <w:rPr>
          <w:rFonts w:ascii="Sylfaen" w:hAnsi="Sylfaen"/>
          <w:sz w:val="24"/>
          <w:szCs w:val="24"/>
          <w:lang w:val="hy-AM"/>
        </w:rPr>
        <w:t xml:space="preserve"> (կամ) փորձարարական ուսումնասիրությունների արդյունքները պարունակող հաշվետվությունը (կից ներկայացնելով փաստաթղթեր, որոնք հաստատում են հղումային մեթոդիկայի համապատասխանությունը սույն </w:t>
      </w:r>
      <w:r w:rsidR="00E649F9" w:rsidRPr="00884C45">
        <w:rPr>
          <w:rFonts w:ascii="Sylfaen" w:hAnsi="Sylfaen"/>
          <w:sz w:val="24"/>
          <w:szCs w:val="24"/>
          <w:lang w:val="hy-AM"/>
        </w:rPr>
        <w:t>կ</w:t>
      </w:r>
      <w:r w:rsidRPr="00884C45">
        <w:rPr>
          <w:rFonts w:ascii="Sylfaen" w:hAnsi="Sylfaen"/>
          <w:sz w:val="24"/>
          <w:szCs w:val="24"/>
          <w:lang w:val="hy-AM"/>
        </w:rPr>
        <w:t xml:space="preserve">արգի 7-րդ </w:t>
      </w:r>
      <w:r w:rsidR="004C0281">
        <w:rPr>
          <w:rFonts w:ascii="Sylfaen" w:hAnsi="Sylfaen"/>
          <w:sz w:val="24"/>
          <w:szCs w:val="24"/>
          <w:lang w:val="hy-AM"/>
        </w:rPr>
        <w:t>և</w:t>
      </w:r>
      <w:r w:rsidRPr="00884C45">
        <w:rPr>
          <w:rFonts w:ascii="Sylfaen" w:hAnsi="Sylfaen"/>
          <w:sz w:val="24"/>
          <w:szCs w:val="24"/>
          <w:lang w:val="hy-AM"/>
        </w:rPr>
        <w:t xml:space="preserve"> 8-րդ կետերի դրույթներին),</w:t>
      </w:r>
    </w:p>
    <w:p w:rsidR="00BF727A" w:rsidRPr="00884C45" w:rsidRDefault="00BF727A" w:rsidP="00F54D5C">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դ)</w:t>
      </w:r>
      <w:r w:rsidR="00F54D5C">
        <w:rPr>
          <w:rFonts w:ascii="Sylfaen" w:hAnsi="Sylfaen"/>
          <w:sz w:val="24"/>
          <w:szCs w:val="24"/>
          <w:lang w:val="hy-AM"/>
        </w:rPr>
        <w:tab/>
      </w:r>
      <w:r w:rsidRPr="00884C45">
        <w:rPr>
          <w:rFonts w:ascii="Sylfaen" w:hAnsi="Sylfaen"/>
          <w:sz w:val="24"/>
          <w:szCs w:val="24"/>
          <w:lang w:val="hy-AM"/>
        </w:rPr>
        <w:t>չափումների մեթոդիկայի (մեթոդի) չափագիտական վկայագրման մասին վկայականի պատճենը (հղումային մեթոդիկայի համար, որի մասով նախկինում անցկացվել է չափագիտական վկայագրում):</w:t>
      </w:r>
    </w:p>
    <w:p w:rsidR="00BF727A" w:rsidRPr="00884C45" w:rsidRDefault="00BF727A" w:rsidP="00F54D5C">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13.</w:t>
      </w:r>
      <w:r w:rsidR="00F54D5C">
        <w:rPr>
          <w:rFonts w:ascii="Sylfaen" w:hAnsi="Sylfaen"/>
          <w:sz w:val="24"/>
          <w:szCs w:val="24"/>
          <w:lang w:val="hy-AM"/>
        </w:rPr>
        <w:tab/>
      </w:r>
      <w:r w:rsidRPr="00884C45">
        <w:rPr>
          <w:rFonts w:ascii="Sylfaen" w:hAnsi="Sylfaen"/>
          <w:sz w:val="24"/>
          <w:szCs w:val="24"/>
          <w:lang w:val="hy-AM"/>
        </w:rPr>
        <w:t xml:space="preserve">Լիազոր մարմնի կողմից անցկացվում է ներկայացված փաստաթղթերի ամբողջականության </w:t>
      </w:r>
      <w:r w:rsidR="004C0281">
        <w:rPr>
          <w:rFonts w:ascii="Sylfaen" w:hAnsi="Sylfaen"/>
          <w:sz w:val="24"/>
          <w:szCs w:val="24"/>
          <w:lang w:val="hy-AM"/>
        </w:rPr>
        <w:t>և</w:t>
      </w:r>
      <w:r w:rsidRPr="00884C45">
        <w:rPr>
          <w:rFonts w:ascii="Sylfaen" w:hAnsi="Sylfaen"/>
          <w:sz w:val="24"/>
          <w:szCs w:val="24"/>
          <w:lang w:val="hy-AM"/>
        </w:rPr>
        <w:t xml:space="preserve"> արժանահավատության ստուգում, որոշում է ընդունվում հղումային մեթոդիկան հաստատելու կամ դրա հաստատումը մերժելու մասին, կատարվում են աշխատանքներ՝ Հանձնաժողովի կողմից հաստատվող՝ չափումների միասնականության ապահովման աշխատանքների արդյունքների փոխադարձ ճանաչման կանոններին համապատասխան, </w:t>
      </w:r>
      <w:r w:rsidR="004C0281">
        <w:rPr>
          <w:rFonts w:ascii="Sylfaen" w:hAnsi="Sylfaen"/>
          <w:sz w:val="24"/>
          <w:szCs w:val="24"/>
          <w:lang w:val="hy-AM"/>
        </w:rPr>
        <w:t>և</w:t>
      </w:r>
      <w:r w:rsidRPr="00884C45">
        <w:rPr>
          <w:rFonts w:ascii="Sylfaen" w:hAnsi="Sylfaen"/>
          <w:sz w:val="24"/>
          <w:szCs w:val="24"/>
          <w:lang w:val="hy-AM"/>
        </w:rPr>
        <w:t xml:space="preserve"> այդ մասին գրավոր տեղեկացվում են լիազորված կազմակերպությունը </w:t>
      </w:r>
      <w:r w:rsidR="004C0281">
        <w:rPr>
          <w:rFonts w:ascii="Sylfaen" w:hAnsi="Sylfaen"/>
          <w:sz w:val="24"/>
          <w:szCs w:val="24"/>
          <w:lang w:val="hy-AM"/>
        </w:rPr>
        <w:t>և</w:t>
      </w:r>
      <w:r w:rsidRPr="00884C45">
        <w:rPr>
          <w:rFonts w:ascii="Sylfaen" w:hAnsi="Sylfaen"/>
          <w:sz w:val="24"/>
          <w:szCs w:val="24"/>
          <w:lang w:val="hy-AM"/>
        </w:rPr>
        <w:t xml:space="preserve"> հայտատուն:</w:t>
      </w:r>
    </w:p>
    <w:p w:rsidR="00BF727A" w:rsidRPr="00884C45" w:rsidRDefault="00BF727A" w:rsidP="00F54D5C">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lastRenderedPageBreak/>
        <w:t>14.</w:t>
      </w:r>
      <w:r w:rsidR="00F54D5C">
        <w:rPr>
          <w:rFonts w:ascii="Sylfaen" w:hAnsi="Sylfaen"/>
          <w:sz w:val="24"/>
          <w:szCs w:val="24"/>
          <w:lang w:val="hy-AM"/>
        </w:rPr>
        <w:tab/>
      </w:r>
      <w:r w:rsidRPr="00884C45">
        <w:rPr>
          <w:rFonts w:ascii="Sylfaen" w:hAnsi="Sylfaen"/>
          <w:sz w:val="24"/>
          <w:szCs w:val="24"/>
          <w:lang w:val="hy-AM"/>
        </w:rPr>
        <w:t>Հաստատված հղումային մեթոդիկայի մասին տեղեկությունները լիազոր մարմնի կողմից փոխանցվում են անդամ պետության՝ չափումների միասնականության ապահովման տեղեկատվական ֆոնդ՝ այդ պետության օրենսդրությամբ սահմանված կարգով։</w:t>
      </w:r>
    </w:p>
    <w:p w:rsidR="00BF727A" w:rsidRPr="00884C45" w:rsidRDefault="00BF727A" w:rsidP="00F54D5C">
      <w:pPr>
        <w:tabs>
          <w:tab w:val="left" w:pos="1134"/>
        </w:tabs>
        <w:spacing w:after="160" w:line="360" w:lineRule="auto"/>
        <w:ind w:firstLine="567"/>
        <w:jc w:val="both"/>
        <w:rPr>
          <w:rFonts w:ascii="Sylfaen" w:hAnsi="Sylfaen"/>
          <w:sz w:val="24"/>
          <w:szCs w:val="24"/>
          <w:lang w:val="hy-AM"/>
        </w:rPr>
      </w:pPr>
      <w:r w:rsidRPr="00884C45">
        <w:rPr>
          <w:rFonts w:ascii="Sylfaen" w:hAnsi="Sylfaen"/>
          <w:sz w:val="24"/>
          <w:szCs w:val="24"/>
          <w:lang w:val="hy-AM"/>
        </w:rPr>
        <w:t>15.</w:t>
      </w:r>
      <w:r w:rsidR="00F54D5C">
        <w:rPr>
          <w:rFonts w:ascii="Sylfaen" w:hAnsi="Sylfaen"/>
          <w:sz w:val="24"/>
          <w:szCs w:val="24"/>
          <w:lang w:val="hy-AM"/>
        </w:rPr>
        <w:tab/>
      </w:r>
      <w:r w:rsidRPr="00884C45">
        <w:rPr>
          <w:rFonts w:ascii="Sylfaen" w:hAnsi="Sylfaen"/>
          <w:sz w:val="24"/>
          <w:szCs w:val="24"/>
          <w:lang w:val="hy-AM"/>
        </w:rPr>
        <w:t>Հղումային մեթոդիկայում փոփոխությունների կատարումն իրականացվում է մշակողի կողմից։</w:t>
      </w:r>
      <w:r w:rsidR="00F54D5C">
        <w:rPr>
          <w:rFonts w:ascii="Sylfaen" w:hAnsi="Sylfaen"/>
          <w:sz w:val="24"/>
          <w:szCs w:val="24"/>
          <w:lang w:val="hy-AM"/>
        </w:rPr>
        <w:t xml:space="preserve"> </w:t>
      </w:r>
      <w:r w:rsidRPr="00884C45">
        <w:rPr>
          <w:rFonts w:ascii="Sylfaen" w:hAnsi="Sylfaen"/>
          <w:sz w:val="24"/>
          <w:szCs w:val="24"/>
          <w:lang w:val="hy-AM"/>
        </w:rPr>
        <w:t>Այդ դեպքում անցկացվում</w:t>
      </w:r>
      <w:r w:rsidR="00E029DB" w:rsidRPr="00884C45">
        <w:rPr>
          <w:rFonts w:ascii="Sylfaen" w:hAnsi="Sylfaen"/>
          <w:sz w:val="24"/>
          <w:szCs w:val="24"/>
          <w:lang w:val="hy-AM"/>
        </w:rPr>
        <w:t xml:space="preserve"> են</w:t>
      </w:r>
      <w:r w:rsidRPr="00884C45">
        <w:rPr>
          <w:rFonts w:ascii="Sylfaen" w:hAnsi="Sylfaen"/>
          <w:sz w:val="24"/>
          <w:szCs w:val="24"/>
          <w:lang w:val="hy-AM"/>
        </w:rPr>
        <w:t xml:space="preserve"> հղումային մեթոդիկայի վկայագրում ու հաստատում (կատարված փոփոխություններով)՝ սույն </w:t>
      </w:r>
      <w:r w:rsidR="00E029DB" w:rsidRPr="00884C45">
        <w:rPr>
          <w:rFonts w:ascii="Sylfaen" w:hAnsi="Sylfaen"/>
          <w:sz w:val="24"/>
          <w:szCs w:val="24"/>
          <w:lang w:val="hy-AM"/>
        </w:rPr>
        <w:t>կ</w:t>
      </w:r>
      <w:r w:rsidRPr="00884C45">
        <w:rPr>
          <w:rFonts w:ascii="Sylfaen" w:hAnsi="Sylfaen"/>
          <w:sz w:val="24"/>
          <w:szCs w:val="24"/>
          <w:lang w:val="hy-AM"/>
        </w:rPr>
        <w:t>արգին համապատասխան:</w:t>
      </w:r>
    </w:p>
    <w:p w:rsidR="00FA5B0B" w:rsidRPr="00884C45" w:rsidRDefault="00F54D5C" w:rsidP="00F54D5C">
      <w:pPr>
        <w:spacing w:after="160" w:line="360" w:lineRule="auto"/>
        <w:jc w:val="center"/>
        <w:rPr>
          <w:rFonts w:ascii="Sylfaen" w:hAnsi="Sylfaen"/>
          <w:sz w:val="24"/>
          <w:szCs w:val="24"/>
          <w:lang w:val="hy-AM"/>
        </w:rPr>
      </w:pPr>
      <w:r>
        <w:rPr>
          <w:rFonts w:ascii="Sylfaen" w:hAnsi="Sylfaen"/>
          <w:sz w:val="24"/>
          <w:szCs w:val="24"/>
          <w:lang w:val="hy-AM"/>
        </w:rPr>
        <w:t>—————————</w:t>
      </w:r>
    </w:p>
    <w:sectPr w:rsidR="00FA5B0B" w:rsidRPr="00884C45" w:rsidSect="00DD427D">
      <w:footerReference w:type="default" r:id="rId9"/>
      <w:pgSz w:w="11907" w:h="16840" w:code="9"/>
      <w:pgMar w:top="1418" w:right="1418"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96D" w:rsidRDefault="000A496D" w:rsidP="00DD427D">
      <w:pPr>
        <w:spacing w:after="0" w:line="240" w:lineRule="auto"/>
      </w:pPr>
      <w:r>
        <w:separator/>
      </w:r>
    </w:p>
  </w:endnote>
  <w:endnote w:type="continuationSeparator" w:id="0">
    <w:p w:rsidR="000A496D" w:rsidRDefault="000A496D" w:rsidP="00DD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5620"/>
      <w:docPartObj>
        <w:docPartGallery w:val="Page Numbers (Bottom of Page)"/>
        <w:docPartUnique/>
      </w:docPartObj>
    </w:sdtPr>
    <w:sdtEndPr>
      <w:rPr>
        <w:rFonts w:ascii="Sylfaen" w:hAnsi="Sylfaen"/>
        <w:sz w:val="24"/>
        <w:szCs w:val="24"/>
      </w:rPr>
    </w:sdtEndPr>
    <w:sdtContent>
      <w:p w:rsidR="00DD427D" w:rsidRPr="00DD427D" w:rsidRDefault="00DD427D">
        <w:pPr>
          <w:pStyle w:val="Footer"/>
          <w:jc w:val="center"/>
          <w:rPr>
            <w:rFonts w:ascii="Sylfaen" w:hAnsi="Sylfaen"/>
            <w:sz w:val="24"/>
            <w:szCs w:val="24"/>
          </w:rPr>
        </w:pPr>
        <w:r w:rsidRPr="00DD427D">
          <w:rPr>
            <w:rFonts w:ascii="Sylfaen" w:hAnsi="Sylfaen"/>
            <w:sz w:val="24"/>
            <w:szCs w:val="24"/>
          </w:rPr>
          <w:fldChar w:fldCharType="begin"/>
        </w:r>
        <w:r w:rsidRPr="00DD427D">
          <w:rPr>
            <w:rFonts w:ascii="Sylfaen" w:hAnsi="Sylfaen"/>
            <w:sz w:val="24"/>
            <w:szCs w:val="24"/>
          </w:rPr>
          <w:instrText xml:space="preserve"> PAGE   \* MERGEFORMAT </w:instrText>
        </w:r>
        <w:r w:rsidRPr="00DD427D">
          <w:rPr>
            <w:rFonts w:ascii="Sylfaen" w:hAnsi="Sylfaen"/>
            <w:sz w:val="24"/>
            <w:szCs w:val="24"/>
          </w:rPr>
          <w:fldChar w:fldCharType="separate"/>
        </w:r>
        <w:r w:rsidR="004C0281">
          <w:rPr>
            <w:rFonts w:ascii="Sylfaen" w:hAnsi="Sylfaen"/>
            <w:noProof/>
            <w:sz w:val="24"/>
            <w:szCs w:val="24"/>
          </w:rPr>
          <w:t>2</w:t>
        </w:r>
        <w:r w:rsidRPr="00DD427D">
          <w:rPr>
            <w:rFonts w:ascii="Sylfaen" w:hAnsi="Sylfaen"/>
            <w:sz w:val="24"/>
            <w:szCs w:val="24"/>
          </w:rPr>
          <w:fldChar w:fldCharType="end"/>
        </w:r>
      </w:p>
    </w:sdtContent>
  </w:sdt>
  <w:p w:rsidR="00DD427D" w:rsidRDefault="00DD4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96D" w:rsidRDefault="000A496D" w:rsidP="00DD427D">
      <w:pPr>
        <w:spacing w:after="0" w:line="240" w:lineRule="auto"/>
      </w:pPr>
      <w:r>
        <w:separator/>
      </w:r>
    </w:p>
  </w:footnote>
  <w:footnote w:type="continuationSeparator" w:id="0">
    <w:p w:rsidR="000A496D" w:rsidRDefault="000A496D" w:rsidP="00DD42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D1EA3"/>
    <w:rsid w:val="00045DAD"/>
    <w:rsid w:val="00054173"/>
    <w:rsid w:val="00081067"/>
    <w:rsid w:val="000A496D"/>
    <w:rsid w:val="000B1E82"/>
    <w:rsid w:val="000C36CD"/>
    <w:rsid w:val="000D1EA3"/>
    <w:rsid w:val="00107A06"/>
    <w:rsid w:val="00196ABF"/>
    <w:rsid w:val="001D06D1"/>
    <w:rsid w:val="002026A7"/>
    <w:rsid w:val="00213185"/>
    <w:rsid w:val="00222A01"/>
    <w:rsid w:val="00237677"/>
    <w:rsid w:val="00243CE3"/>
    <w:rsid w:val="002E522F"/>
    <w:rsid w:val="002F5158"/>
    <w:rsid w:val="00331A7B"/>
    <w:rsid w:val="003372A2"/>
    <w:rsid w:val="003E1FA2"/>
    <w:rsid w:val="00447BDD"/>
    <w:rsid w:val="00465DED"/>
    <w:rsid w:val="004669CE"/>
    <w:rsid w:val="00475202"/>
    <w:rsid w:val="004B3A9D"/>
    <w:rsid w:val="004C0281"/>
    <w:rsid w:val="005E55C2"/>
    <w:rsid w:val="006173C7"/>
    <w:rsid w:val="006D4F9F"/>
    <w:rsid w:val="007110A2"/>
    <w:rsid w:val="00732055"/>
    <w:rsid w:val="00734F35"/>
    <w:rsid w:val="00780F12"/>
    <w:rsid w:val="007C4284"/>
    <w:rsid w:val="007F3331"/>
    <w:rsid w:val="00884C45"/>
    <w:rsid w:val="008C5C44"/>
    <w:rsid w:val="008F046E"/>
    <w:rsid w:val="00915E6B"/>
    <w:rsid w:val="009E6736"/>
    <w:rsid w:val="009F43B3"/>
    <w:rsid w:val="00A06E21"/>
    <w:rsid w:val="00A13F43"/>
    <w:rsid w:val="00A97FF0"/>
    <w:rsid w:val="00AB1AC8"/>
    <w:rsid w:val="00AF382B"/>
    <w:rsid w:val="00B4291D"/>
    <w:rsid w:val="00B43ED9"/>
    <w:rsid w:val="00B91EC6"/>
    <w:rsid w:val="00BC7200"/>
    <w:rsid w:val="00BE3A13"/>
    <w:rsid w:val="00BF727A"/>
    <w:rsid w:val="00C9757F"/>
    <w:rsid w:val="00CA29D1"/>
    <w:rsid w:val="00CB1379"/>
    <w:rsid w:val="00CE5E1C"/>
    <w:rsid w:val="00D66162"/>
    <w:rsid w:val="00D768CC"/>
    <w:rsid w:val="00DC7341"/>
    <w:rsid w:val="00DD427D"/>
    <w:rsid w:val="00DE5E51"/>
    <w:rsid w:val="00E029DB"/>
    <w:rsid w:val="00E276F6"/>
    <w:rsid w:val="00E649F9"/>
    <w:rsid w:val="00E9326E"/>
    <w:rsid w:val="00EA473E"/>
    <w:rsid w:val="00EA534D"/>
    <w:rsid w:val="00EE257A"/>
    <w:rsid w:val="00F13E69"/>
    <w:rsid w:val="00F54D5C"/>
    <w:rsid w:val="00F571E3"/>
    <w:rsid w:val="00F92115"/>
    <w:rsid w:val="00FA5B0B"/>
    <w:rsid w:val="00FC1847"/>
    <w:rsid w:val="00FD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g">
    <w:name w:val="Tag"/>
    <w:basedOn w:val="DefaultParagraphFont"/>
    <w:uiPriority w:val="1"/>
    <w:qFormat/>
    <w:rsid w:val="000D1EA3"/>
    <w:rPr>
      <w:i/>
      <w:color w:val="FF0066"/>
    </w:rPr>
  </w:style>
  <w:style w:type="character" w:customStyle="1" w:styleId="LockedContent">
    <w:name w:val="LockedContent"/>
    <w:basedOn w:val="DefaultParagraphFont"/>
    <w:uiPriority w:val="1"/>
    <w:qFormat/>
    <w:rsid w:val="000D1EA3"/>
    <w:rPr>
      <w:i/>
      <w:color w:val="808080" w:themeColor="background1" w:themeShade="80"/>
    </w:rPr>
  </w:style>
  <w:style w:type="character" w:customStyle="1" w:styleId="TransUnitID">
    <w:name w:val="TransUnitID"/>
    <w:basedOn w:val="DefaultParagraphFont"/>
    <w:uiPriority w:val="1"/>
    <w:qFormat/>
    <w:rsid w:val="000D1EA3"/>
    <w:rPr>
      <w:vanish/>
      <w:color w:val="auto"/>
      <w:sz w:val="2"/>
    </w:rPr>
  </w:style>
  <w:style w:type="character" w:customStyle="1" w:styleId="SegmentID">
    <w:name w:val="SegmentID"/>
    <w:basedOn w:val="DefaultParagraphFont"/>
    <w:uiPriority w:val="1"/>
    <w:qFormat/>
    <w:rsid w:val="000D1EA3"/>
    <w:rPr>
      <w:color w:val="auto"/>
    </w:rPr>
  </w:style>
  <w:style w:type="paragraph" w:styleId="BalloonText">
    <w:name w:val="Balloon Text"/>
    <w:basedOn w:val="Normal"/>
    <w:link w:val="BalloonTextChar"/>
    <w:uiPriority w:val="99"/>
    <w:semiHidden/>
    <w:unhideWhenUsed/>
    <w:rsid w:val="00107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A06"/>
    <w:rPr>
      <w:rFonts w:ascii="Tahoma" w:hAnsi="Tahoma" w:cs="Tahoma"/>
      <w:sz w:val="16"/>
      <w:szCs w:val="16"/>
    </w:rPr>
  </w:style>
  <w:style w:type="character" w:customStyle="1" w:styleId="Bodytext2">
    <w:name w:val="Body text (2)_"/>
    <w:basedOn w:val="DefaultParagraphFont"/>
    <w:link w:val="Bodytext20"/>
    <w:rsid w:val="00B43ED9"/>
    <w:rPr>
      <w:rFonts w:ascii="Times New Roman" w:eastAsia="Times New Roman" w:hAnsi="Times New Roman" w:cs="Times New Roman"/>
      <w:sz w:val="30"/>
      <w:szCs w:val="30"/>
      <w:shd w:val="clear" w:color="auto" w:fill="FFFFFF"/>
    </w:rPr>
  </w:style>
  <w:style w:type="paragraph" w:customStyle="1" w:styleId="Bodytext20">
    <w:name w:val="Body text (2)"/>
    <w:basedOn w:val="Normal"/>
    <w:link w:val="Bodytext2"/>
    <w:rsid w:val="00B43ED9"/>
    <w:pPr>
      <w:widowControl w:val="0"/>
      <w:shd w:val="clear" w:color="auto" w:fill="FFFFFF"/>
      <w:spacing w:before="420" w:after="420" w:line="0" w:lineRule="atLeast"/>
      <w:ind w:hanging="1220"/>
      <w:jc w:val="both"/>
    </w:pPr>
    <w:rPr>
      <w:rFonts w:ascii="Times New Roman" w:eastAsia="Times New Roman" w:hAnsi="Times New Roman" w:cs="Times New Roman"/>
      <w:sz w:val="30"/>
      <w:szCs w:val="30"/>
    </w:rPr>
  </w:style>
  <w:style w:type="character" w:styleId="CommentReference">
    <w:name w:val="annotation reference"/>
    <w:basedOn w:val="DefaultParagraphFont"/>
    <w:uiPriority w:val="99"/>
    <w:semiHidden/>
    <w:unhideWhenUsed/>
    <w:rsid w:val="00A06E21"/>
    <w:rPr>
      <w:sz w:val="16"/>
      <w:szCs w:val="16"/>
    </w:rPr>
  </w:style>
  <w:style w:type="paragraph" w:styleId="CommentText">
    <w:name w:val="annotation text"/>
    <w:basedOn w:val="Normal"/>
    <w:link w:val="CommentTextChar"/>
    <w:uiPriority w:val="99"/>
    <w:semiHidden/>
    <w:unhideWhenUsed/>
    <w:rsid w:val="00A06E21"/>
    <w:pPr>
      <w:spacing w:line="240" w:lineRule="auto"/>
    </w:pPr>
    <w:rPr>
      <w:sz w:val="20"/>
      <w:szCs w:val="20"/>
    </w:rPr>
  </w:style>
  <w:style w:type="character" w:customStyle="1" w:styleId="CommentTextChar">
    <w:name w:val="Comment Text Char"/>
    <w:basedOn w:val="DefaultParagraphFont"/>
    <w:link w:val="CommentText"/>
    <w:uiPriority w:val="99"/>
    <w:semiHidden/>
    <w:rsid w:val="00A06E21"/>
    <w:rPr>
      <w:sz w:val="20"/>
      <w:szCs w:val="20"/>
    </w:rPr>
  </w:style>
  <w:style w:type="paragraph" w:styleId="CommentSubject">
    <w:name w:val="annotation subject"/>
    <w:basedOn w:val="CommentText"/>
    <w:next w:val="CommentText"/>
    <w:link w:val="CommentSubjectChar"/>
    <w:uiPriority w:val="99"/>
    <w:semiHidden/>
    <w:unhideWhenUsed/>
    <w:rsid w:val="00A06E21"/>
    <w:rPr>
      <w:b/>
      <w:bCs/>
    </w:rPr>
  </w:style>
  <w:style w:type="character" w:customStyle="1" w:styleId="CommentSubjectChar">
    <w:name w:val="Comment Subject Char"/>
    <w:basedOn w:val="CommentTextChar"/>
    <w:link w:val="CommentSubject"/>
    <w:uiPriority w:val="99"/>
    <w:semiHidden/>
    <w:rsid w:val="00A06E21"/>
    <w:rPr>
      <w:b/>
      <w:bCs/>
      <w:sz w:val="20"/>
      <w:szCs w:val="20"/>
    </w:rPr>
  </w:style>
  <w:style w:type="paragraph" w:styleId="Header">
    <w:name w:val="header"/>
    <w:basedOn w:val="Normal"/>
    <w:link w:val="HeaderChar"/>
    <w:uiPriority w:val="99"/>
    <w:semiHidden/>
    <w:unhideWhenUsed/>
    <w:rsid w:val="00DD42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427D"/>
  </w:style>
  <w:style w:type="paragraph" w:styleId="Footer">
    <w:name w:val="footer"/>
    <w:basedOn w:val="Normal"/>
    <w:link w:val="FooterChar"/>
    <w:uiPriority w:val="99"/>
    <w:unhideWhenUsed/>
    <w:rsid w:val="00DD4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2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ist>
  <segment id="b9466dfc-0f66-4d7c-b7f2-a1e78eb5c8d8_1" sourcehash="-1164446117" targethash="-458783890"/>
  <segment id="e5681e49-3ff7-4c09-aead-831f1084d32c_2" sourcehash="-1982854353" targethash="1773025162"/>
  <segment id="fe927a78-bc70-4f8a-a0af-6875bd5db59c_3" sourcehash="-1876117633" targethash="1650954877"/>
  <segment id="71006e44-d9d5-448b-82d8-a2d993a88b29_4" sourcehash="-795381381" targethash="-2134525512"/>
  <segment id="70eef3da-2f40-4c4a-b423-cecfd7551aa7_5" sourcehash="1619324771" targethash="1996758336"/>
  <segment id="99c0d1ef-c359-4828-af6e-854bfffabe1b_6" sourcehash="403181527" targethash="1220605367"/>
  <segment id="f51236d5-f30d-4302-9a8a-a6c7f29ecfae_7" sourcehash="-963880086" targethash="2093171867"/>
  <segment id="0e9670d4-6dae-4a7e-b2b3-94ef49f767f4_8" sourcehash="-672855811" targethash="345832148"/>
  <segment id="6fe582ba-95c2-4a9b-a46f-d8ec97843f13_9" sourcehash="1285383371" targethash="1285383371"/>
  <segment id="6fe582ba-95c2-4a9b-a46f-d8ec97843f13_10" sourcehash="1181251337" targethash="-1588344834"/>
  <segment id="1c4897f6-5172-4426-9f54-b9035a011fa2_11" sourcehash="1290691794" targethash="1290691794"/>
  <segment id="1c4897f6-5172-4426-9f54-b9035a011fa2_12" sourcehash="1478980981" targethash="-1512198487"/>
  <segment id="932eda06-fd46-41e3-b5ac-3ed60fc426e4_13" sourcehash="-1925629385" targethash="1583722173"/>
  <segment id="5d6f4faa-da47-4ecd-8616-237b89de9c74_14" sourcehash="-1910638393" targethash="563278984"/>
  <segment id="44fd3710-dc0c-4c60-a79a-85cebca71fc6_15" sourcehash="1197858810" targethash="753133046"/>
  <segment id="e0f18076-52d6-45de-bef5-bce1d9218f0f_16" sourcehash="-1495076493" targethash="55331828"/>
  <segment id="7955886a-5dc7-4a49-b198-57dbd509277a_17" sourcehash="187165327" targethash="-1147771703"/>
  <segment id="9c27b998-6691-4583-8085-9a5bdb57405a_18" sourcehash="-276224762" targethash="-660280912"/>
  <segment id="86365f02-9175-4553-aa43-02149b044147_19" sourcehash="536821369" targethash="-997518256"/>
  <segment id="1364fc9f-f9cf-43b2-80d4-e3ae19d14526_20" sourcehash="1290626258" targethash="1290626258"/>
  <segment id="1364fc9f-f9cf-43b2-80d4-e3ae19d14526_21" sourcehash="-492567587" targethash="107765349"/>
  <segment id="34a3e1d1-8f7a-4903-bf98-4036bdee8534_22" sourcehash="1290757331" targethash="1290757331"/>
  <segment id="34a3e1d1-8f7a-4903-bf98-4036bdee8534_23" sourcehash="-540953453" targethash="-822818766"/>
  <segment id="73679d7b-c140-4234-944f-812844b47c7e_24" sourcehash="-441625217" targethash="1370658075"/>
  <segment id="05ba0119-3240-4b4a-9e79-5ce5d0dd1f16_25" sourcehash="1289905360" targethash="1289905360"/>
  <segment id="05ba0119-3240-4b4a-9e79-5ce5d0dd1f16_26" sourcehash="1483500029" targethash="-835786775"/>
  <segment id="0e643bbf-e2a3-44cd-86e7-30fd8f9268fd_27" sourcehash="1290036433" targethash="1290036433"/>
  <segment id="0e643bbf-e2a3-44cd-86e7-30fd8f9268fd_28" sourcehash="504988969" targethash="-662481704"/>
  <segment id="91e17e34-6f1b-4e5b-bd9f-b9ed32b9999e_29" sourcehash="-160128405" targethash="-1682610096"/>
  <segment id="16187370-c7b4-42cc-98a6-e988ab5e89c3_30" sourcehash="-783582062" targethash="570114570"/>
  <segment id="74daff8f-e2eb-4113-8505-348e3201bcf5_31" sourcehash="1290691797" targethash="1290691797"/>
  <segment id="74daff8f-e2eb-4113-8505-348e3201bcf5_32" sourcehash="-333446916" targethash="-2127173534"/>
  <segment id="07d6c224-9662-4bab-9b86-993f0e02aeb5_33" sourcehash="-1836044754" targethash="-415878808"/>
  <segment id="16f7ea28-e97c-4ff1-824b-75899553c695_34" sourcehash="1289839828" targethash="1289839828"/>
  <segment id="16f7ea28-e97c-4ff1-824b-75899553c695_35" sourcehash="489518226" targethash="-1027856441"/>
  <segment id="1b521486-e482-45b2-a2ca-0f18a10361b5_36" sourcehash="-1266075069" targethash="642932966"/>
  <segment id="b5faa0b5-9fc3-419e-a600-21a7f7dfb78a_37" sourcehash="1972373904" targethash="690430693"/>
  <segment id="ad6cfcdf-e51b-4dff-abd3-6d5d029a626f_38" sourcehash="170107724" targethash="-1600888879"/>
  <segment id="fda07849-29d6-4c07-9def-0b42b3109fb9_39" sourcehash="2091052630" targethash="-2049235332"/>
  <segment id="cacfd5ee-6cbe-4f22-89a6-aba4cbb891d0_40" sourcehash="125938659" targethash="-1526990618"/>
  <segment id="b9c273ab-15fd-4380-8526-9daba94eb9b5_41" sourcehash="1717168850" targethash="-596877563"/>
  <segment id="76bd9817-20a2-432b-b9ef-5fc6be76ac68_42" sourcehash="1366208801" targethash="-1019088157"/>
  <segment id="753f7453-9241-46ba-a89e-1be5bf53b033_43" sourcehash="-246658860" targethash="1890180987"/>
  <segment id="216689f0-33f3-484d-ba94-fc66a51b6e85_44" sourcehash="1131289527" targethash="-1190903541"/>
  <segment id="b3b544ce-d716-481e-a8a1-007385779e64_45" sourcehash="-147899432" targethash="-702467535"/>
  <segment id="b2868aff-eaf1-42c8-b46e-ca5429a24c1a_46" sourcehash="-45314713" targethash="971441792"/>
  <segment id="a0e22ae3-27b5-41d7-bb62-f43164b14943_47" sourcehash="-1788916203" targethash="-686270525"/>
  <segment id="3b3c9a9f-7bb6-433d-a244-55f19acfcd95_48" sourcehash="903180459" targethash="901076376"/>
  <segment id="2128ab57-2e80-4c3b-baa2-c4e3514e410b_49" sourcehash="1284924630" targethash="1284924630"/>
  <segment id="2128ab57-2e80-4c3b-baa2-c4e3514e410b_50" sourcehash="-1196366228" targethash="1201905822"/>
  <segment id="aa358f97-46f0-4151-92f0-ff3547517d63_51" sourcehash="-1257499806" targethash="-10823294"/>
  <segment id="9bf54a87-d597-42dc-a8a0-c0ae5e772f8a_52" sourcehash="-464573677" targethash="-1109102205"/>
  <segment id="cbd805ab-8d0e-4dc9-9f52-e169cd7bb0cd_53" sourcehash="-1501210160" targethash="1500529773"/>
  <segment id="28709902-16fd-4ee4-b4ac-04432d4d9b4b_54" sourcehash="-408772674" targethash="1760182090"/>
  <segment id="b028f877-6910-4dc0-a37b-41487353e356_55" sourcehash="-5726660" targethash="2078383947"/>
  <segment id="177f39c3-09ed-42cc-b2cf-480b80cc3188_56" sourcehash="1988321616" targethash="-1973181706"/>
  <segment id="96d37fbc-d75a-4480-a236-2fb9b32c6849_57" sourcehash="-1953340622" targethash="1287375949"/>
  <segment id="af3d106d-3966-440f-bfbd-3a15937c62e5_58" sourcehash="1709682816" targethash="-1688263065"/>
  <segment id="592c54e3-e4a2-41ef-a140-d40c9cda3dd6_59" sourcehash="-541685496" targethash="-636872290"/>
  <segment id="cc0fa3af-f0aa-4418-b138-4bbd1a788f62_60" sourcehash="-148199010" targethash="-13898736"/>
  <segment id="61de42a4-6ee0-4328-a4ac-f575cd9b2942_61" sourcehash="-985540340" targethash="-1189621960"/>
  <segment id="b9cae532-699a-40b7-9a20-9dacb390f291_62" sourcehash="2106755439" targethash="2126879250"/>
  <segment id="f5ca5ce2-7d80-43fc-bf00-68c7d9a71720_63" sourcehash="-158615059" targethash="1508702397"/>
  <segment id="3e161471-86d0-43f3-94d5-1fd6163c63a6_64" sourcehash="-1263010637" targethash="307224321"/>
  <segment id="64b374fe-2248-46cc-ba44-65b41130e798_65" sourcehash="1289905345" targethash="1289905345"/>
  <segment id="64b374fe-2248-46cc-ba44-65b41130e798_66" sourcehash="1302245688" targethash="-478007599"/>
  <segment id="6f571da0-bc49-4f1f-adbe-442e2b9c1e6e_67" sourcehash="1290036430" targethash="1290036430"/>
  <segment id="6f571da0-bc49-4f1f-adbe-442e2b9c1e6e_68" sourcehash="-1681562844" targethash="1292161164"/>
  <segment id="e42ae59d-20b2-43ac-a249-3841e99f23a4_69" sourcehash="-1650001931" targethash="935572949"/>
  <segment id="b6aaf4ab-7de9-4e76-8ef3-3239843a4f75_70" sourcehash="525495229" targethash="-1678142515"/>
  <segment id="5e6cb16f-5432-400c-a036-1450a47637ad_71" sourcehash="371573346" targethash="-1623017366"/>
  <segment id="03a4a2d8-9ec3-4382-a826-5ffff63c7fc1_72" sourcehash="-1302889887" targethash="-1055875714"/>
  <segment id="6b36ecf6-48bf-498c-8b38-8b68eb974270_73" sourcehash="1172868536" targethash="466845782"/>
  <segment id="28d42439-4c3b-4336-94fb-5357848afa30_74" sourcehash="489055481" targethash="489055481"/>
  <segment id="28d42439-4c3b-4336-94fb-5357848afa30_75" sourcehash="1602906923" targethash="119734100"/>
  <segment id="d1b8d1b6-482e-4ccc-9e96-0098fd05a6f1_76" sourcehash="488989945" targethash="488989945"/>
  <segment id="d1b8d1b6-482e-4ccc-9e96-0098fd05a6f1_77" sourcehash="-726953818" targethash="1609474465"/>
  <segment id="a1b5e547-756c-4f70-a6f8-2a0f9e5bfcb8_78" sourcehash="491807993" targethash="491807993"/>
  <segment id="a1b5e547-756c-4f70-a6f8-2a0f9e5bfcb8_79" sourcehash="-964345792" targethash="1983790861"/>
  <segment id="7056be68-6e4a-4454-bfdd-9f86f3cd8a35_80" sourcehash="991026785" targethash="461150458"/>
  <segment id="b8639f5f-f484-4bdb-8aa9-de928f8952ca_81" sourcehash="-345011406" targethash="-912468763"/>
  <segment id="a823cf05-e957-4159-bd6a-dd9c985b2ad9_82" sourcehash="-462282644" targethash="301370848"/>
  <segment id="526d4b29-51cc-490e-92d3-1c82fa2bab02_83" sourcehash="-665143241" targethash="990001618"/>
  <segment id="af2a4ee7-4417-47f7-aa47-1fee4c44dd9a_84" sourcehash="488989928" targethash="488989928"/>
  <segment id="af2a4ee7-4417-47f7-aa47-1fee4c44dd9a_85" sourcehash="-1918703873" targethash="-949569161"/>
  <segment id="7df7dfdf-97b4-40ff-bc5b-db3aae125e26_86" sourcehash="489186536" targethash="489186536"/>
  <segment id="7df7dfdf-97b4-40ff-bc5b-db3aae125e26_87" sourcehash="-1856841250" targethash="-253847377"/>
  <segment id="44e2daab-b40c-4b48-adc1-89fa823c775f_88" sourcehash="492791016" targethash="492791016"/>
  <segment id="44e2daab-b40c-4b48-adc1-89fa823c775f_89" sourcehash="783790418" targethash="-731778483"/>
  <segment id="44e2daab-b40c-4b48-adc1-89fa823c775f_90" sourcehash="-443053399" targethash="1163539109"/>
</list>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81A45-98C0-4D79-952A-E8203CE59AAC}">
  <ds:schemaRefs/>
</ds:datastoreItem>
</file>

<file path=customXml/itemProps2.xml><?xml version="1.0" encoding="utf-8"?>
<ds:datastoreItem xmlns:ds="http://schemas.openxmlformats.org/officeDocument/2006/customXml" ds:itemID="{57C0284F-5868-4FE8-B5C2-B627ED44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9</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sidebyside</cp:keywords>
  <cp:lastModifiedBy>Tatevik</cp:lastModifiedBy>
  <cp:revision>43</cp:revision>
  <dcterms:created xsi:type="dcterms:W3CDTF">2017-09-20T06:50:00Z</dcterms:created>
  <dcterms:modified xsi:type="dcterms:W3CDTF">2018-07-19T06:49:00Z</dcterms:modified>
</cp:coreProperties>
</file>