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65" w:rsidRPr="004D5A02" w:rsidRDefault="00840465" w:rsidP="004D5A02">
      <w:pPr>
        <w:pStyle w:val="mechtex"/>
        <w:ind w:left="4320"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     </w:t>
      </w:r>
      <w:proofErr w:type="spellStart"/>
      <w:r w:rsidRPr="004D5A02">
        <w:rPr>
          <w:rFonts w:ascii="GHEA Grapalat" w:hAnsi="GHEA Grapalat" w:cs="Sylfaen"/>
        </w:rPr>
        <w:t>Հավելված</w:t>
      </w:r>
      <w:proofErr w:type="spellEnd"/>
      <w:r w:rsidRPr="004D5A02">
        <w:rPr>
          <w:rFonts w:ascii="GHEA Grapalat" w:hAnsi="GHEA Grapalat" w:cs="Sylfaen"/>
        </w:rPr>
        <w:t xml:space="preserve"> N </w:t>
      </w:r>
      <w:r>
        <w:rPr>
          <w:rFonts w:ascii="GHEA Grapalat" w:hAnsi="GHEA Grapalat" w:cs="Sylfaen"/>
        </w:rPr>
        <w:t>2</w:t>
      </w:r>
    </w:p>
    <w:p w:rsidR="00840465" w:rsidRPr="004D5A02" w:rsidRDefault="00840465" w:rsidP="004D5A02">
      <w:pPr>
        <w:pStyle w:val="mechtex"/>
        <w:ind w:left="4320"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        </w:t>
      </w:r>
      <w:proofErr w:type="gramStart"/>
      <w:r w:rsidR="008E7A5F">
        <w:rPr>
          <w:rFonts w:ascii="GHEA Grapalat" w:hAnsi="GHEA Grapalat" w:cs="Sylfaen"/>
        </w:rPr>
        <w:t xml:space="preserve">ՀՀ  </w:t>
      </w:r>
      <w:proofErr w:type="spellStart"/>
      <w:r w:rsidR="008E7A5F">
        <w:rPr>
          <w:rFonts w:ascii="GHEA Grapalat" w:hAnsi="GHEA Grapalat" w:cs="Sylfaen"/>
        </w:rPr>
        <w:t>կառավարության</w:t>
      </w:r>
      <w:proofErr w:type="spellEnd"/>
      <w:proofErr w:type="gramEnd"/>
      <w:r w:rsidR="008E7A5F">
        <w:rPr>
          <w:rFonts w:ascii="GHEA Grapalat" w:hAnsi="GHEA Grapalat" w:cs="Sylfaen"/>
        </w:rPr>
        <w:t xml:space="preserve"> </w:t>
      </w:r>
      <w:r w:rsidRPr="004D5A02">
        <w:rPr>
          <w:rFonts w:ascii="GHEA Grapalat" w:hAnsi="GHEA Grapalat" w:cs="Sylfaen"/>
        </w:rPr>
        <w:t>2018 թ.</w:t>
      </w:r>
    </w:p>
    <w:p w:rsidR="00840465" w:rsidRPr="004D5A02" w:rsidRDefault="00840465" w:rsidP="004D5A02">
      <w:pPr>
        <w:pStyle w:val="mechtex"/>
        <w:ind w:left="4320" w:firstLine="720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 xml:space="preserve">                                                 </w:t>
      </w:r>
      <w:r w:rsidR="008E7A5F">
        <w:rPr>
          <w:rFonts w:ascii="GHEA Grapalat" w:hAnsi="GHEA Grapalat" w:cs="Sylfaen"/>
          <w:spacing w:val="-4"/>
        </w:rPr>
        <w:t xml:space="preserve">   </w:t>
      </w:r>
      <w:r>
        <w:rPr>
          <w:rFonts w:ascii="GHEA Grapalat" w:hAnsi="GHEA Grapalat" w:cs="Sylfaen"/>
          <w:spacing w:val="-4"/>
        </w:rPr>
        <w:t xml:space="preserve"> </w:t>
      </w:r>
      <w:proofErr w:type="spellStart"/>
      <w:proofErr w:type="gramStart"/>
      <w:r w:rsidRPr="004D5A02">
        <w:rPr>
          <w:rFonts w:ascii="GHEA Grapalat" w:hAnsi="GHEA Grapalat" w:cs="Sylfaen"/>
          <w:spacing w:val="-4"/>
        </w:rPr>
        <w:t>փետրվարի</w:t>
      </w:r>
      <w:proofErr w:type="spellEnd"/>
      <w:proofErr w:type="gramEnd"/>
      <w:r w:rsidRPr="004D5A02">
        <w:rPr>
          <w:rFonts w:ascii="GHEA Grapalat" w:hAnsi="GHEA Grapalat" w:cs="Sylfaen"/>
          <w:spacing w:val="-4"/>
        </w:rPr>
        <w:t xml:space="preserve"> 22-ի </w:t>
      </w:r>
      <w:proofErr w:type="spellStart"/>
      <w:r w:rsidRPr="004D5A02">
        <w:rPr>
          <w:rFonts w:ascii="GHEA Grapalat" w:hAnsi="GHEA Grapalat" w:cs="Sylfaen"/>
          <w:spacing w:val="-4"/>
        </w:rPr>
        <w:t>նիստի</w:t>
      </w:r>
      <w:proofErr w:type="spellEnd"/>
      <w:r w:rsidRPr="004D5A02">
        <w:rPr>
          <w:rFonts w:ascii="GHEA Grapalat" w:hAnsi="GHEA Grapalat" w:cs="Sylfaen"/>
          <w:spacing w:val="-4"/>
        </w:rPr>
        <w:t xml:space="preserve"> N 7</w:t>
      </w:r>
    </w:p>
    <w:p w:rsidR="00840465" w:rsidRPr="004D5A02" w:rsidRDefault="00840465" w:rsidP="004D5A02">
      <w:pPr>
        <w:spacing w:after="0" w:line="240" w:lineRule="auto"/>
        <w:ind w:left="72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4D5A02">
        <w:rPr>
          <w:rFonts w:ascii="GHEA Grapalat" w:hAnsi="GHEA Grapalat" w:cs="Sylfaen"/>
          <w:sz w:val="20"/>
          <w:szCs w:val="20"/>
        </w:rPr>
        <w:t xml:space="preserve">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 xml:space="preserve">                                                      </w:t>
      </w:r>
      <w:r w:rsidRPr="004D5A02">
        <w:rPr>
          <w:rFonts w:ascii="GHEA Grapalat" w:hAnsi="GHEA Grapalat" w:cs="Sylfaen"/>
          <w:sz w:val="20"/>
          <w:szCs w:val="20"/>
        </w:rPr>
        <w:t xml:space="preserve">  </w:t>
      </w:r>
      <w:r w:rsidR="008E7A5F">
        <w:rPr>
          <w:rFonts w:ascii="GHEA Grapalat" w:hAnsi="GHEA Grapalat" w:cs="Sylfaen"/>
          <w:sz w:val="20"/>
          <w:szCs w:val="20"/>
        </w:rPr>
        <w:t xml:space="preserve">     </w:t>
      </w:r>
      <w:proofErr w:type="spellStart"/>
      <w:proofErr w:type="gramStart"/>
      <w:r w:rsidR="008E7A5F">
        <w:rPr>
          <w:rFonts w:ascii="GHEA Grapalat" w:hAnsi="GHEA Grapalat" w:cs="Sylfaen"/>
          <w:sz w:val="20"/>
          <w:szCs w:val="20"/>
        </w:rPr>
        <w:t>արձանագրային</w:t>
      </w:r>
      <w:proofErr w:type="spellEnd"/>
      <w:proofErr w:type="gramEnd"/>
      <w:r w:rsidRPr="004D5A02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4D5A02">
        <w:rPr>
          <w:rFonts w:ascii="GHEA Grapalat" w:hAnsi="GHEA Grapalat" w:cs="Sylfaen"/>
          <w:sz w:val="20"/>
          <w:szCs w:val="20"/>
        </w:rPr>
        <w:t>որոշման</w:t>
      </w:r>
      <w:proofErr w:type="spellEnd"/>
    </w:p>
    <w:p w:rsidR="00840465" w:rsidRPr="00946539" w:rsidRDefault="00840465" w:rsidP="00DF45AC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840465" w:rsidRPr="004D5A02" w:rsidRDefault="00840465" w:rsidP="00DF45AC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 Bold" w:hAnsi="GHEA Grapalat Bold" w:cs="GHEA Grapalat"/>
          <w:b/>
          <w:caps/>
          <w:lang w:val="hy-AM"/>
        </w:rPr>
      </w:pPr>
      <w:r w:rsidRPr="004D5A02">
        <w:rPr>
          <w:rFonts w:ascii="GHEA Grapalat Bold" w:hAnsi="GHEA Grapalat Bold" w:cs="GHEA Grapalat"/>
          <w:b/>
          <w:caps/>
          <w:lang w:val="hy-AM"/>
        </w:rPr>
        <w:t xml:space="preserve"> </w:t>
      </w:r>
      <w:r w:rsidRPr="004D5A02">
        <w:rPr>
          <w:rFonts w:ascii="GHEA Grapalat" w:hAnsi="GHEA Grapalat" w:cs="GHEA Grapalat"/>
          <w:b/>
          <w:caps/>
          <w:lang w:val="hy-AM"/>
        </w:rPr>
        <w:t>ԾՐԱԳԻՐ</w:t>
      </w:r>
      <w:bookmarkStart w:id="0" w:name="_GoBack"/>
      <w:bookmarkEnd w:id="0"/>
    </w:p>
    <w:p w:rsidR="00840465" w:rsidRPr="004D5A02" w:rsidRDefault="00840465" w:rsidP="00DF45AC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 Bold" w:hAnsi="GHEA Grapalat Bold" w:cs="GHEA Grapalat"/>
          <w:b/>
          <w:caps/>
          <w:lang w:val="hy-AM"/>
        </w:rPr>
      </w:pPr>
      <w:r w:rsidRPr="004D5A02">
        <w:rPr>
          <w:rFonts w:ascii="GHEA Grapalat" w:hAnsi="GHEA Grapalat"/>
          <w:b/>
          <w:caps/>
          <w:sz w:val="24"/>
          <w:szCs w:val="24"/>
          <w:lang w:val="hy-AM"/>
        </w:rPr>
        <w:t>բնական</w:t>
      </w:r>
      <w:r w:rsidRPr="004D5A02">
        <w:rPr>
          <w:rFonts w:ascii="GHEA Grapalat Bold" w:hAnsi="GHEA Grapalat Bold"/>
          <w:b/>
          <w:caps/>
          <w:sz w:val="24"/>
          <w:szCs w:val="24"/>
          <w:lang w:val="hy-AM"/>
        </w:rPr>
        <w:t xml:space="preserve"> </w:t>
      </w:r>
      <w:r w:rsidRPr="004D5A02">
        <w:rPr>
          <w:rFonts w:ascii="GHEA Grapalat" w:hAnsi="GHEA Grapalat"/>
          <w:b/>
          <w:caps/>
          <w:sz w:val="24"/>
          <w:szCs w:val="24"/>
          <w:lang w:val="hy-AM"/>
        </w:rPr>
        <w:t>պաշարների</w:t>
      </w:r>
      <w:r w:rsidRPr="004D5A02">
        <w:rPr>
          <w:rFonts w:ascii="GHEA Grapalat Bold" w:hAnsi="GHEA Grapalat Bold"/>
          <w:b/>
          <w:caps/>
          <w:sz w:val="24"/>
          <w:szCs w:val="24"/>
          <w:lang w:val="hy-AM"/>
        </w:rPr>
        <w:t xml:space="preserve"> </w:t>
      </w:r>
      <w:r w:rsidRPr="004D5A02">
        <w:rPr>
          <w:rFonts w:ascii="GHEA Grapalat" w:hAnsi="GHEA Grapalat"/>
          <w:b/>
          <w:caps/>
          <w:sz w:val="24"/>
          <w:szCs w:val="24"/>
          <w:lang w:val="hy-AM"/>
        </w:rPr>
        <w:t>կառավարման</w:t>
      </w:r>
      <w:r w:rsidRPr="004D5A02">
        <w:rPr>
          <w:rFonts w:ascii="GHEA Grapalat Bold" w:hAnsi="GHEA Grapalat Bold"/>
          <w:b/>
          <w:caps/>
          <w:sz w:val="24"/>
          <w:szCs w:val="24"/>
          <w:lang w:val="hy-AM"/>
        </w:rPr>
        <w:t xml:space="preserve"> </w:t>
      </w:r>
      <w:r w:rsidRPr="004D5A02">
        <w:rPr>
          <w:rFonts w:ascii="GHEA Grapalat" w:hAnsi="GHEA Grapalat"/>
          <w:b/>
          <w:caps/>
          <w:sz w:val="24"/>
          <w:szCs w:val="24"/>
          <w:lang w:val="hy-AM"/>
        </w:rPr>
        <w:t>ռազմավարության</w:t>
      </w:r>
      <w:r w:rsidRPr="004D5A02">
        <w:rPr>
          <w:rFonts w:ascii="GHEA Grapalat Bold" w:hAnsi="GHEA Grapalat Bold"/>
          <w:b/>
          <w:caps/>
          <w:sz w:val="24"/>
          <w:szCs w:val="24"/>
          <w:lang w:val="pt-BR"/>
        </w:rPr>
        <w:t xml:space="preserve"> </w:t>
      </w:r>
      <w:r>
        <w:rPr>
          <w:rFonts w:ascii="GHEA Grapalat Bold" w:hAnsi="GHEA Grapalat Bold"/>
          <w:b/>
          <w:caps/>
          <w:sz w:val="24"/>
          <w:szCs w:val="24"/>
          <w:lang w:val="pt-BR"/>
        </w:rPr>
        <w:br/>
      </w:r>
      <w:r w:rsidRPr="004D5A02">
        <w:rPr>
          <w:rFonts w:ascii="GHEA Grapalat" w:hAnsi="GHEA Grapalat"/>
          <w:b/>
          <w:caps/>
          <w:sz w:val="24"/>
          <w:szCs w:val="24"/>
          <w:lang w:val="hy-AM"/>
        </w:rPr>
        <w:t>կատարումն</w:t>
      </w:r>
      <w:r w:rsidRPr="004D5A02">
        <w:rPr>
          <w:rFonts w:ascii="GHEA Grapalat Bold" w:hAnsi="GHEA Grapalat Bold"/>
          <w:b/>
          <w:caps/>
          <w:sz w:val="24"/>
          <w:szCs w:val="24"/>
          <w:lang w:val="pt-BR"/>
        </w:rPr>
        <w:t xml:space="preserve"> </w:t>
      </w:r>
      <w:r w:rsidRPr="004D5A02">
        <w:rPr>
          <w:rFonts w:ascii="GHEA Grapalat" w:hAnsi="GHEA Grapalat"/>
          <w:b/>
          <w:caps/>
          <w:sz w:val="24"/>
          <w:szCs w:val="24"/>
          <w:lang w:val="hy-AM"/>
        </w:rPr>
        <w:t>ապահովող</w:t>
      </w:r>
      <w:r w:rsidRPr="004D5A02">
        <w:rPr>
          <w:rFonts w:ascii="GHEA Grapalat Bold" w:hAnsi="GHEA Grapalat Bold"/>
          <w:b/>
          <w:caps/>
          <w:sz w:val="24"/>
          <w:szCs w:val="24"/>
          <w:lang w:val="pt-BR"/>
        </w:rPr>
        <w:t xml:space="preserve"> </w:t>
      </w:r>
      <w:r w:rsidRPr="004D5A02">
        <w:rPr>
          <w:rFonts w:ascii="GHEA Grapalat" w:hAnsi="GHEA Grapalat"/>
          <w:b/>
          <w:caps/>
          <w:sz w:val="24"/>
          <w:szCs w:val="24"/>
          <w:lang w:val="pt-BR"/>
        </w:rPr>
        <w:t>միջոցառումների</w:t>
      </w:r>
      <w:r w:rsidRPr="004D5A02">
        <w:rPr>
          <w:rFonts w:ascii="GHEA Grapalat Bold" w:hAnsi="GHEA Grapalat Bold"/>
          <w:b/>
          <w:caps/>
          <w:sz w:val="24"/>
          <w:szCs w:val="24"/>
          <w:lang w:val="pt-BR"/>
        </w:rPr>
        <w:t xml:space="preserve"> </w:t>
      </w:r>
    </w:p>
    <w:tbl>
      <w:tblPr>
        <w:tblpPr w:leftFromText="180" w:rightFromText="180" w:vertAnchor="text" w:horzAnchor="margin" w:tblpXSpec="center" w:tblpY="441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150"/>
        <w:gridCol w:w="2520"/>
        <w:gridCol w:w="2700"/>
        <w:gridCol w:w="2160"/>
        <w:gridCol w:w="2340"/>
        <w:gridCol w:w="1530"/>
      </w:tblGrid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F5E51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F5E51">
              <w:rPr>
                <w:rFonts w:ascii="GHEA Grapalat" w:hAnsi="GHEA Grapalat"/>
                <w:b/>
                <w:lang w:val="hy-AM"/>
              </w:rPr>
              <w:t>Միջոցառումների</w:t>
            </w:r>
            <w:r w:rsidRPr="000F5E51">
              <w:rPr>
                <w:rFonts w:ascii="GHEA Grapalat" w:hAnsi="GHEA Grapalat" w:cs="Sylfaen"/>
                <w:b/>
              </w:rPr>
              <w:t xml:space="preserve"> </w:t>
            </w:r>
            <w:r w:rsidRPr="000F5E51">
              <w:rPr>
                <w:rFonts w:ascii="GHEA Grapalat" w:hAnsi="GHEA Grapalat" w:cs="Sylfaen"/>
                <w:b/>
                <w:lang w:val="hy-AM"/>
              </w:rPr>
              <w:t>ա</w:t>
            </w:r>
            <w:proofErr w:type="spellStart"/>
            <w:r w:rsidRPr="000F5E51">
              <w:rPr>
                <w:rFonts w:ascii="GHEA Grapalat" w:hAnsi="GHEA Grapalat" w:cs="Sylfaen"/>
                <w:b/>
              </w:rPr>
              <w:t>նվանումը</w:t>
            </w:r>
            <w:proofErr w:type="spellEnd"/>
          </w:p>
        </w:tc>
        <w:tc>
          <w:tcPr>
            <w:tcW w:w="252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F5E51">
              <w:rPr>
                <w:rFonts w:ascii="GHEA Grapalat" w:hAnsi="GHEA Grapalat" w:cs="Sylfaen"/>
                <w:b/>
                <w:lang w:val="ru-RU"/>
              </w:rPr>
              <w:t>Նպատակը</w:t>
            </w:r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F5E51">
              <w:rPr>
                <w:rFonts w:ascii="GHEA Grapalat" w:hAnsi="GHEA Grapalat" w:cs="Sylfaen"/>
                <w:b/>
                <w:lang w:val="ru-RU"/>
              </w:rPr>
              <w:t>Արդյունքը</w:t>
            </w:r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0F5E51">
              <w:rPr>
                <w:rFonts w:ascii="GHEA Grapalat" w:hAnsi="GHEA Grapalat" w:cs="Sylfaen"/>
                <w:b/>
              </w:rPr>
              <w:t>Ֆինանսավոր</w:t>
            </w:r>
            <w:proofErr w:type="spellEnd"/>
            <w:r w:rsidRPr="000F5E51">
              <w:rPr>
                <w:rFonts w:ascii="GHEA Grapalat" w:hAnsi="GHEA Grapalat" w:cs="Sylfaen"/>
                <w:b/>
                <w:lang w:val="hy-AM"/>
              </w:rPr>
              <w:softHyphen/>
            </w:r>
            <w:proofErr w:type="spellStart"/>
            <w:r w:rsidRPr="000F5E51">
              <w:rPr>
                <w:rFonts w:ascii="GHEA Grapalat" w:hAnsi="GHEA Grapalat" w:cs="Sylfaen"/>
                <w:b/>
              </w:rPr>
              <w:t>ման</w:t>
            </w:r>
            <w:proofErr w:type="spellEnd"/>
            <w:r w:rsidRPr="000F5E5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/>
              </w:rPr>
              <w:t>աղբյուր</w:t>
            </w:r>
            <w:proofErr w:type="spellEnd"/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F5E51">
              <w:rPr>
                <w:rFonts w:ascii="GHEA Grapalat" w:hAnsi="GHEA Grapalat" w:cs="Sylfaen"/>
                <w:b/>
                <w:lang w:val="ru-RU"/>
              </w:rPr>
              <w:t>Պատասխատու կատարող</w:t>
            </w: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0F5E51">
              <w:rPr>
                <w:rFonts w:ascii="GHEA Grapalat" w:hAnsi="GHEA Grapalat" w:cs="Sylfaen"/>
                <w:b/>
                <w:lang w:val="ru-RU"/>
              </w:rPr>
              <w:t>Ժամկետ</w:t>
            </w:r>
          </w:p>
        </w:tc>
      </w:tr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80"/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Մակերևութային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 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ստորերկր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յա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ջրային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ռեսուրսների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մոնիթորինգի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նոր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մշակում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հաստատում</w:t>
            </w:r>
            <w:proofErr w:type="spellEnd"/>
          </w:p>
        </w:tc>
        <w:tc>
          <w:tcPr>
            <w:tcW w:w="252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մակերևութային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ստո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ր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երկրյա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ջրային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ռեսուրսների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վերա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բեր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յալ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քանակական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որակական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տվյալների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կատարելագործում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ջային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ռեսուրսների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վերաբերյալ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հավաստի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տվյալների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առկայություն</w:t>
            </w:r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օրենքով չարգելված այլ աղբյուրներ</w:t>
            </w:r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ՀՀ բնապահպա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նու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թյան նախարարություն</w:t>
            </w: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>2021 թվական</w:t>
            </w:r>
          </w:p>
        </w:tc>
      </w:tr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80"/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Ջրամատակարարման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ջրահեռացման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բարելավում</w:t>
            </w:r>
            <w:proofErr w:type="spellEnd"/>
          </w:p>
        </w:tc>
        <w:tc>
          <w:tcPr>
            <w:tcW w:w="252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Վեոլիա Ջուր&gt;&gt; ՓԲԸ-ի հետ կնքված վարձակալության պայմանագրի դրույթների ապահովում</w:t>
            </w:r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Մատակարարվող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հե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ռաց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վող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ջրի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որակ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քանակական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հատկա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նիշների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բարելավում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0F5E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Վեոլիա Ջուր» ՓԲԸ-ի սեփական միջոցներով և կեղտաջուր արտադրող տնտեսվարող սուբյեկտների միջոցներով (համաձայնությամբ)</w:t>
            </w:r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ՀՀ ԷԵԲՊ ջրային տնտեսության պետական կոմիտե</w:t>
            </w: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color w:val="FF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ՀՀ բնապահ-պանության նախարարություն</w:t>
            </w: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31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80"/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Գետերի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ջրային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պաշարների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արդյունավետ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օգտագործում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հոսքի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կարգավորում</w:t>
            </w:r>
            <w:proofErr w:type="spellEnd"/>
          </w:p>
        </w:tc>
        <w:tc>
          <w:tcPr>
            <w:tcW w:w="252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ջրային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պաշարների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կուտակում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նպատակային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օգտագործում</w:t>
            </w:r>
            <w:proofErr w:type="spellEnd"/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ջրամբարաշինություն</w:t>
            </w:r>
            <w:proofErr w:type="spellEnd"/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օրենքով չարգելված այլ աղբյուրներ</w:t>
            </w:r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ՀՀ ԷԵԲՊ ջրային տնտեսության պետական կոմիտե</w:t>
            </w: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color w:val="FF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ՀՀ բնապահ-պանության նախարարություն</w:t>
            </w: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202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թվական </w:t>
            </w:r>
          </w:p>
        </w:tc>
      </w:tr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pStyle w:val="ListParagraph"/>
              <w:numPr>
                <w:ilvl w:val="0"/>
                <w:numId w:val="41"/>
              </w:numPr>
              <w:tabs>
                <w:tab w:val="left" w:pos="432"/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80"/>
                <w:tab w:val="left" w:pos="432"/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Օրենսդրական բարեփոխումներ՝ 1:Ոռոգման ջրի բնագավառում օրենսդրական բարեփոխումների պահանջների գնահատում և 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&lt;&lt;Ոռոգման ջրի բնագավառում մատուցվող ծառայությունների որակի բարելավման&gt;&gt; հայեցակարգի նախագծի մշակում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</w:rPr>
              <w:t>և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ներկայացում</w:t>
            </w:r>
            <w:proofErr w:type="spellEnd"/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</w:rPr>
              <w:t>ՀՀ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աշխատակազմ</w:t>
            </w:r>
            <w:proofErr w:type="spellEnd"/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:      </w:t>
            </w:r>
          </w:p>
          <w:p w:rsidR="00840465" w:rsidRPr="000F5E51" w:rsidRDefault="00840465" w:rsidP="000F5E51">
            <w:pPr>
              <w:tabs>
                <w:tab w:val="left" w:pos="180"/>
                <w:tab w:val="left" w:pos="432"/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  2.&lt;&lt;Ոռոգման ջրի մասին&gt;&gt; ՀՀ օրենքի նախագծի մշակում և ներկայացում ՀՀ կառավարության աշխատակազմ:  </w:t>
            </w:r>
          </w:p>
        </w:tc>
        <w:tc>
          <w:tcPr>
            <w:tcW w:w="252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 xml:space="preserve">Բնագավառում ներառված մարմինների իրավասությունների ու պարտականությունների հստակեցում և օրենսդրությամբ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ամրագրում:</w:t>
            </w:r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right="-101"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Համակարգի առավել ար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դյունա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վետ շահա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գոր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ծում, ոռոգման ջրի ու ոռոգելի հողատա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րածք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ների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ռա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վել արդյունա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վետ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/նպա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կային օգ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տագործում,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ֆինանսա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կան կայունա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ցում (հա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քագրումների մակար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դակի բարձ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ցում), ՋՕԸ-ջրօգ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գոր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ծող հարաբերությունների կանոնակարգում</w:t>
            </w:r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ՀՀ օրենքով չարգելված այլ աղբյուրներ</w:t>
            </w:r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ԷԵԲՊՆ ջրային տնտեսության պե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կան կոմիտե, ՀՀ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գյուղատնտե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սու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թյան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նախարա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րու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թյուն,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տա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րած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քային կառա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վար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ման և զար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գացման նախարա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րու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թյուն,ՀՀ բնապահ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պանության նախարարություն,ՀՀ ֆինանսների նախարարություն,</w:t>
            </w: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տնտեսական զարգացման և ներդրումների նախարարություն</w:t>
            </w: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2019 թվական</w:t>
            </w: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2019 թվական</w:t>
            </w:r>
          </w:p>
        </w:tc>
      </w:tr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Վարձակալության պայմա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նագ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րով նախատեսված &lt;&lt;Վեոլիա Ջուր&gt;&gt; փակ բաժնետիրական ընկերության հիմնական կա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տա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րողական ցուցանիշների (ՀԿՑ-ների) ապահովում՝ ջրա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մա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տակարարման շարունակա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կանության, մատակարարվող ջրի որակի, չհաշվառվող ջրի կրճատման (մինչև 2031 թվա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կանը՝ 30%-ի չափով) և բաժա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նոր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դ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ների բավարարվածության վերաբերյալ:</w:t>
            </w:r>
          </w:p>
        </w:tc>
        <w:tc>
          <w:tcPr>
            <w:tcW w:w="252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Վարձակալության պայ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մանագրով  նախա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տես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ված հիմնական կատա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րո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ղական ցուցանիշ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նե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րի` ջրամատակարար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 շարունակականու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թյան, մատակարարվող ջրի որակի, կորուստ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ների կրճատման և ջրամատակարարման ծա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ռայությունների որա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կի վերաբերյալ բաժա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նորդ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ների բավարարվա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ծու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թյան ապահովման  հսկողության իրականա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ցում և արդյունքների վերլուծություն:</w:t>
            </w:r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Վարձակալության պայմանագրով  նախատեսված հիմնական կատարողական ցուցանիշների ապահովում:</w:t>
            </w:r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Վարձակալի</w:t>
            </w:r>
            <w:proofErr w:type="spellEnd"/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  <w:proofErr w:type="spellEnd"/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(համաձայնությամբ)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օրենքով</w:t>
            </w:r>
            <w:proofErr w:type="spellEnd"/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չարգելված</w:t>
            </w:r>
            <w:proofErr w:type="spellEnd"/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proofErr w:type="spellEnd"/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>աղբյուրներ</w:t>
            </w:r>
            <w:proofErr w:type="spellEnd"/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ԷԵԲՊՆ ջրային տնտեսության պետական կոմիտե</w:t>
            </w: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2031 թվական</w:t>
            </w:r>
          </w:p>
        </w:tc>
      </w:tr>
      <w:tr w:rsidR="00840465" w:rsidRPr="000F5E51" w:rsidTr="000F5E51">
        <w:tc>
          <w:tcPr>
            <w:tcW w:w="648" w:type="dxa"/>
          </w:tcPr>
          <w:p w:rsidR="00840465" w:rsidRPr="000F5E51" w:rsidRDefault="00840465" w:rsidP="000F5E51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  <w:tc>
          <w:tcPr>
            <w:tcW w:w="315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Վարձակալության պայմանագ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րով նախատեսված &lt;&lt;Վեոլիա Ջուր&gt;&gt; փակ բաժնետիրական ընկերության պարտադիր կա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պիտալ աշխատանքների ծրագ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րի (ՊԿԱԾ) շրջանակներում մինչև 2031 թվականն առն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վազն 37.5 մլրդ դրամի աշխատանքների իրականաց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ման ապահովում:</w:t>
            </w:r>
          </w:p>
        </w:tc>
        <w:tc>
          <w:tcPr>
            <w:tcW w:w="2520" w:type="dxa"/>
          </w:tcPr>
          <w:p w:rsidR="00840465" w:rsidRPr="000F5E51" w:rsidRDefault="00840465" w:rsidP="000F5E51">
            <w:pPr>
              <w:spacing w:after="0" w:line="240" w:lineRule="auto"/>
              <w:ind w:right="-95"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Վարձակալի ֆինան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սա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միջոցներով  իրա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կանացվող ՊԿԱԾ-ի իրականա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ցում, որի արդյունքում կապա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հով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վի համա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գերի տեխ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նիկա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վիճակի բարելավում</w:t>
            </w:r>
          </w:p>
        </w:tc>
        <w:tc>
          <w:tcPr>
            <w:tcW w:w="270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Պարտադիր կապիտալ աշխատանքների  ծրագրով նախատեսված աշխատանքների իրականացում</w:t>
            </w:r>
          </w:p>
        </w:tc>
        <w:tc>
          <w:tcPr>
            <w:tcW w:w="216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Վարձակալի ֆինանսական միջոցներ</w:t>
            </w:r>
            <w:r w:rsidRPr="000F5E5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(համաձայնությամբ)</w:t>
            </w:r>
          </w:p>
        </w:tc>
        <w:tc>
          <w:tcPr>
            <w:tcW w:w="234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ԷԵԲՊՆ ջրային տնտեսության պետական կոմիտե,</w:t>
            </w:r>
          </w:p>
        </w:tc>
        <w:tc>
          <w:tcPr>
            <w:tcW w:w="1530" w:type="dxa"/>
          </w:tcPr>
          <w:p w:rsidR="00840465" w:rsidRPr="000F5E51" w:rsidRDefault="00840465" w:rsidP="000F5E51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մինչև 2031 թվա</w:t>
            </w:r>
            <w:r w:rsidRPr="000F5E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կանը (տարեկան շարունակական)</w:t>
            </w:r>
          </w:p>
        </w:tc>
      </w:tr>
    </w:tbl>
    <w:p w:rsidR="00840465" w:rsidRPr="00946539" w:rsidRDefault="00840465" w:rsidP="00DF45AC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0"/>
          <w:szCs w:val="20"/>
          <w:lang w:val="hy-AM"/>
        </w:rPr>
        <w:sectPr w:rsidR="00840465" w:rsidRPr="00946539" w:rsidSect="004D5A02">
          <w:pgSz w:w="15840" w:h="12240" w:orient="landscape"/>
          <w:pgMar w:top="540" w:right="1138" w:bottom="850" w:left="1138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51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411"/>
        <w:gridCol w:w="2551"/>
        <w:gridCol w:w="2694"/>
        <w:gridCol w:w="2063"/>
        <w:gridCol w:w="2204"/>
        <w:gridCol w:w="1396"/>
      </w:tblGrid>
      <w:tr w:rsidR="00840465" w:rsidRPr="000F5E51" w:rsidTr="00DA0EAE">
        <w:trPr>
          <w:trHeight w:val="2825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տարածքում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կենսաբազմազանության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բիզնես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ներուժի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գնահատման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անձնագրավորման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էլեկտրոնային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տեղեկատվական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համակարգի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ստեղծման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աշխատանքներ</w:t>
            </w:r>
            <w:proofErr w:type="spellEnd"/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Կենսաբազմազանության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բիզնես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ներուժի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անձնագրավորման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մեթոդոլոգիայի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առկայություն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որի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միջոցով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հնարավոր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կլինի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անձնագրավորել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ու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գ</w:t>
            </w:r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նահատել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կենսաբազմազանության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բիզնես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ներուժը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նպաստել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կենսաբազմազանության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էկոտուրիզմի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առկա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պոտենցիալի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արդյունավետ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եղանակների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մշակմանը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</w:pP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Կձևավորվի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կենսաբազմազանության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տվյալների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համալիր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միասնական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էլեկտրոնային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տեղեկատվական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համակարգ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՝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ըստ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 ՀՀ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մարզերի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: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lang w:eastAsia="ru-RU"/>
              </w:rPr>
              <w:t>ՀՀ</w:t>
            </w:r>
            <w:r w:rsidRPr="000F5E51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օրենքով</w:t>
            </w:r>
            <w:proofErr w:type="spellEnd"/>
            <w:r w:rsidRPr="000F5E51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չարգելված</w:t>
            </w:r>
            <w:proofErr w:type="spellEnd"/>
            <w:r w:rsidRPr="000F5E51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0F5E51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աղբյուրներ</w:t>
            </w:r>
            <w:proofErr w:type="spellEnd"/>
          </w:p>
        </w:tc>
        <w:tc>
          <w:tcPr>
            <w:tcW w:w="2204" w:type="dxa"/>
          </w:tcPr>
          <w:p w:rsidR="00840465" w:rsidRPr="00946539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</w:pP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ՀՀ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բնապահ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softHyphen/>
              <w:t>պանության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նախարարություն</w:t>
            </w:r>
            <w:proofErr w:type="spellEnd"/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  <w:tab w:val="left" w:pos="3119"/>
                <w:tab w:val="left" w:pos="3402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0F5E51">
              <w:rPr>
                <w:rFonts w:ascii="GHEA Grapalat" w:hAnsi="GHEA Grapalat"/>
                <w:sz w:val="20"/>
                <w:szCs w:val="20"/>
              </w:rPr>
              <w:t>0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</w:t>
            </w:r>
          </w:p>
        </w:tc>
      </w:tr>
      <w:tr w:rsidR="00840465" w:rsidRPr="000F5E51" w:rsidTr="00DA0EAE">
        <w:trPr>
          <w:trHeight w:val="699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Արդյունագործական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սոցիալական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նպատակներով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կենդանատեսակների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իրականացում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Արդյունագործական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սոցիալական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նպատակներով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կենդանատեսակների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հաշվառում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չափաքանակների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որոշում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,</w:t>
            </w:r>
            <w:r w:rsidRPr="000F5E51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 նյութերի թվայնացում</w:t>
            </w:r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Արդյունագործական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սոցիալական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նպատակներով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կենդանատեսակների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առկա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կլինի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նտեսական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արժեք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ներկայացնող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արդյունագործական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ու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սոցիալական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նշանակություն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ունեցող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տեսակների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ուսումնասիրության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օգտագործման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ենթակա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չափաքանակների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վերաբերյալ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հիմնավորումներ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ստացված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տվյալների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lastRenderedPageBreak/>
              <w:t>վերլուծության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հիման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վրա</w:t>
            </w:r>
            <w:proofErr w:type="spellEnd"/>
            <w:r w:rsidRPr="000F5E51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GIS քարտեզագր</w:t>
            </w:r>
            <w:proofErr w:type="spellStart"/>
            <w:r w:rsidRPr="000F5E51">
              <w:rPr>
                <w:rFonts w:ascii="GHEA Grapalat" w:hAnsi="GHEA Grapalat" w:cs="Sylfaen"/>
                <w:iCs/>
                <w:sz w:val="20"/>
                <w:szCs w:val="20"/>
              </w:rPr>
              <w:t>ում</w:t>
            </w:r>
            <w:proofErr w:type="spellEnd"/>
            <w:r w:rsidRPr="000F5E51">
              <w:rPr>
                <w:rFonts w:ascii="GHEA Grapalat" w:hAnsi="GHEA Grapalat" w:cs="Sylfaen"/>
                <w:iCs/>
                <w:sz w:val="20"/>
                <w:szCs w:val="20"/>
              </w:rPr>
              <w:t xml:space="preserve">, </w:t>
            </w:r>
            <w:r w:rsidRPr="000F5E51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նյութերի թվայնացում</w:t>
            </w:r>
            <w:r w:rsidRPr="000F5E51">
              <w:rPr>
                <w:rFonts w:ascii="GHEA Grapalat" w:hAnsi="GHEA Grapalat" w:cs="Sylfaen"/>
                <w:iCs/>
                <w:sz w:val="20"/>
                <w:szCs w:val="20"/>
              </w:rPr>
              <w:t>,</w:t>
            </w:r>
            <w:r w:rsidRPr="000F5E51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որն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էլ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իր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հերթին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կնպաստի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ru-RU"/>
              </w:rPr>
              <w:t>կենդանական</w:t>
            </w:r>
            <w:r w:rsidRPr="000F5E51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աշխարհի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պետական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կադաստրի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ստեղծմանը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,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վարմանը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,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ինչպես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նաև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հիմք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կհանդիսանա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ru-RU"/>
              </w:rPr>
              <w:t>կենդանական</w:t>
            </w:r>
            <w:r w:rsidRPr="000F5E51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աշխարհի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մոնիթորիգի</w:t>
            </w:r>
            <w:r w:rsidRPr="000F5E51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իրականացման</w:t>
            </w:r>
            <w:r w:rsidRPr="000F5E51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0F5E51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համար</w:t>
            </w:r>
            <w:r w:rsidRPr="000F5E51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>:</w:t>
            </w: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46539">
              <w:rPr>
                <w:rFonts w:ascii="GHEA Grapalat" w:hAnsi="GHEA Grapalat" w:cs="Sylfaen"/>
                <w:lang w:eastAsia="ru-RU"/>
              </w:rPr>
              <w:lastRenderedPageBreak/>
              <w:t>ՀՀ</w:t>
            </w:r>
            <w:r w:rsidRPr="000F5E51">
              <w:rPr>
                <w:rFonts w:ascii="GHEA Grapalat" w:hAnsi="GHEA Grapalat"/>
                <w:lang w:val="pt-BR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օրենքով</w:t>
            </w:r>
            <w:proofErr w:type="spellEnd"/>
            <w:r w:rsidRPr="000F5E51">
              <w:rPr>
                <w:rFonts w:ascii="GHEA Grapalat" w:hAnsi="GHEA Grapalat"/>
                <w:lang w:val="pt-BR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չարգելված</w:t>
            </w:r>
            <w:proofErr w:type="spellEnd"/>
            <w:r w:rsidRPr="000F5E51">
              <w:rPr>
                <w:rFonts w:ascii="GHEA Grapalat" w:hAnsi="GHEA Grapalat"/>
                <w:lang w:val="pt-BR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0F5E51">
              <w:rPr>
                <w:rFonts w:ascii="GHEA Grapalat" w:hAnsi="GHEA Grapalat"/>
                <w:lang w:val="pt-BR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աղբյուրներ</w:t>
            </w:r>
            <w:proofErr w:type="spellEnd"/>
          </w:p>
        </w:tc>
        <w:tc>
          <w:tcPr>
            <w:tcW w:w="2204" w:type="dxa"/>
          </w:tcPr>
          <w:p w:rsidR="00840465" w:rsidRPr="00946539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</w:pP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ՀՀ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բնապահ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softHyphen/>
              <w:t>պանության</w:t>
            </w:r>
            <w:proofErr w:type="spellEnd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նախարարություն</w:t>
            </w:r>
            <w:proofErr w:type="spellEnd"/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  <w:tab w:val="left" w:pos="3119"/>
                <w:tab w:val="left" w:pos="3402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</w:rPr>
            </w:pPr>
            <w:r w:rsidRPr="000F5E51">
              <w:rPr>
                <w:rFonts w:ascii="GHEA Grapalat" w:hAnsi="GHEA Grapalat"/>
                <w:sz w:val="20"/>
                <w:szCs w:val="20"/>
              </w:rPr>
              <w:t>2018-2020թթ.</w:t>
            </w:r>
          </w:p>
        </w:tc>
      </w:tr>
      <w:tr w:rsidR="00840465" w:rsidRPr="000F5E51" w:rsidTr="00DA0EAE">
        <w:trPr>
          <w:trHeight w:val="131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850E3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Մշակել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կառավարության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աշխատակազմ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ներկայացնել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օրենքի նախագիծ «Բուսական աշխարհի մասին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օրենքում փոփոխություններ կատարելու մասին»: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 բուսական ռեսուրսների  գնահատման 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չափաքանակների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մեխանիզմները:</w:t>
            </w:r>
          </w:p>
        </w:tc>
        <w:tc>
          <w:tcPr>
            <w:tcW w:w="2694" w:type="dxa"/>
          </w:tcPr>
          <w:p w:rsidR="00840465" w:rsidRPr="00946539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  <w:t>Կ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ru-RU"/>
              </w:rPr>
              <w:t>կատարելագործվ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>ի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  <w:t>: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/>
                <w:sz w:val="20"/>
                <w:szCs w:val="20"/>
                <w:lang w:val="af-ZA"/>
              </w:rPr>
            </w:pP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/>
                <w:sz w:val="20"/>
                <w:szCs w:val="20"/>
                <w:lang w:val="af-ZA"/>
              </w:rPr>
            </w:pPr>
            <w:proofErr w:type="spellStart"/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>բուսաբանական</w:t>
            </w:r>
            <w:proofErr w:type="spellEnd"/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>ռեսուրսների</w:t>
            </w:r>
            <w:proofErr w:type="spellEnd"/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 xml:space="preserve"> 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ru-RU"/>
              </w:rPr>
              <w:t>կառավարումը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/>
                <w:sz w:val="20"/>
                <w:szCs w:val="20"/>
                <w:lang w:val="hy-AM"/>
              </w:rPr>
            </w:pP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Ֆինանսական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ապահովում չի պահանջում</w:t>
            </w:r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Գիտությունների ազգային ակադեմիա (համաձայնությամբ)</w:t>
            </w:r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</w:rPr>
              <w:t>2018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  <w:tr w:rsidR="00840465" w:rsidRPr="000F5E51" w:rsidTr="00DA0EAE">
        <w:trPr>
          <w:trHeight w:val="558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pStyle w:val="ListParagraph"/>
              <w:tabs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Բացահայտել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</w:rPr>
              <w:t>լայն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</w:rPr>
              <w:t>կիրառում</w:t>
            </w:r>
            <w:proofErr w:type="spellEnd"/>
            <w:r w:rsidRPr="000F5E51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bCs/>
                <w:sz w:val="20"/>
                <w:szCs w:val="20"/>
              </w:rPr>
              <w:t>ունեցող</w:t>
            </w:r>
            <w:proofErr w:type="spellEnd"/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բուսատեսակներ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որսակենդանիներ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0F5E5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գնահատել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պաշարներ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որոշել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հավաքի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որսի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չափաքանակներ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Աջակցել կենսա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ռեսուրս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ների կայուն կառավարման սկզբունքների ներդրմանը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Կենսապաշարների մասին հստակ տեղեկատվության հիման վրա  կիրականացվի կենսաբազմազանության տեսակների կայուն օգտագործում:</w:t>
            </w: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օրենքով չարգելված </w:t>
            </w:r>
            <w:r w:rsidRPr="00946539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աղբյուրներ</w:t>
            </w:r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բնապահպանության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նախարարություն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գյուղատնտեսության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նախարարություն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Գիտությունների ազգային ակադեմիա (համաձայնությամբ)</w:t>
            </w:r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2019թ.-շարունակա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կան</w:t>
            </w:r>
          </w:p>
        </w:tc>
      </w:tr>
      <w:tr w:rsidR="00840465" w:rsidRPr="000F5E51" w:rsidTr="00DA0EAE">
        <w:trPr>
          <w:trHeight w:val="558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pStyle w:val="ListParagraph"/>
              <w:tabs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ՀՀ բնապահպանության նախարարության կայք էջում ս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տեղծել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համացանցային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ռեսուրս՝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կենսաբազմազանության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կայուն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Ապահովել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ժամանակակից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միջոցով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ոլորտային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խնդիրների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մասին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իրազեկությունը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Մշտապես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առցանց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ռեսուրսի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միջոցով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կ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ենսաբազմազա</w:t>
            </w:r>
            <w:proofErr w:type="spellEnd"/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լավ տեղեկացված հասարակության լայն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շերտեր:</w:t>
            </w: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օրենքով չարգելված </w:t>
            </w:r>
            <w:r w:rsidRPr="00946539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աղբյուրներ</w:t>
            </w:r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2018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.-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շարունակա</w:t>
            </w:r>
            <w:proofErr w:type="spellEnd"/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կան</w:t>
            </w:r>
            <w:proofErr w:type="spellEnd"/>
          </w:p>
        </w:tc>
      </w:tr>
      <w:tr w:rsidR="00840465" w:rsidRPr="000F5E51" w:rsidTr="00DA0EAE">
        <w:trPr>
          <w:trHeight w:val="558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pStyle w:val="ListParagraph"/>
              <w:tabs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Մշակել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դասընթացների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ծրագիր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ազմակերպել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կենսաբազմազանության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ոլորտում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գիտելիքների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ձեռքբերման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և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որակավորման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բարձրացման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դասընթացներ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թիրախային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խմբերի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Նպաստել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տարբեր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թիրախային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խմբերում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բազմազանության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ոլորտում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գիտելիքների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ձեռքբերման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գործընթացին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Թ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իրախային խմբերը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իրենց գործունեության ընթացքում հաշվի կառնեն կենսաբազմազա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նության հետ կապված խնդիրները:</w:t>
            </w: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օրենքով չարգելված </w:t>
            </w:r>
            <w:r w:rsidRPr="00946539">
              <w:rPr>
                <w:rFonts w:ascii="GHEA Grapalat" w:hAnsi="GHEA Grapalat" w:cs="Sylfaen"/>
                <w:lang w:val="af-ZA" w:eastAsia="ru-RU"/>
              </w:rPr>
              <w:t xml:space="preserve"> </w:t>
            </w:r>
            <w:proofErr w:type="spellStart"/>
            <w:r w:rsidRPr="00946539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աղբյուրներ</w:t>
            </w:r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բնապահպանության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կրթության և գիտության նախարարություն.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0F5E5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0F5E5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Գիտությունների ազգային ակադեմիա (համաձայնությամբ)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2019թ.- շարունակա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կան </w:t>
            </w:r>
          </w:p>
        </w:tc>
      </w:tr>
      <w:tr w:rsidR="00840465" w:rsidRPr="000F5E51" w:rsidTr="00DA0EAE">
        <w:trPr>
          <w:trHeight w:val="558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pStyle w:val="ListParagraph"/>
              <w:tabs>
                <w:tab w:val="left" w:pos="270"/>
                <w:tab w:val="left" w:pos="360"/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Արարատյան դաշտի ստորգետնյա ջրային ավազանի պաշարի և վերականգնվող ռեսուրսի հաշվառում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Արարատյան դաշտի ստորգետնյա ջրային ավազանի ջրային ռեսուրսների արդյունավետ կառավարում</w:t>
            </w:r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Ջրային ավազանի պաշարների և վերականգնվող ռեսուրսների ողջամիտ օգտագործում</w:t>
            </w:r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ԱՄՆ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ՄԶԳ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Գիտական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առաջադեմ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տեխնոլոգիաների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համագործակցություն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հանուն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ների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համալիր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պահպանութ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յան</w:t>
            </w:r>
            <w:r w:rsidRPr="000F5E51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hy-AM"/>
              </w:rPr>
              <w:t>ծրագիր</w:t>
            </w:r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F5E51">
              <w:rPr>
                <w:rFonts w:ascii="GHEA Grapalat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Arial"/>
                <w:sz w:val="20"/>
                <w:szCs w:val="20"/>
              </w:rPr>
              <w:t>բնապահպանության</w:t>
            </w:r>
            <w:proofErr w:type="spellEnd"/>
            <w:r w:rsidRPr="000F5E5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Arial"/>
                <w:sz w:val="20"/>
                <w:szCs w:val="20"/>
              </w:rPr>
              <w:t>նախարարություն</w:t>
            </w:r>
            <w:proofErr w:type="spellEnd"/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ՀՀ էներգետիկ ենթակառուցվածք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F5E51">
              <w:rPr>
                <w:rFonts w:ascii="GHEA Grapalat" w:hAnsi="GHEA Grapalat" w:cs="Arial"/>
                <w:sz w:val="20"/>
                <w:szCs w:val="20"/>
                <w:lang w:val="hy-AM"/>
              </w:rPr>
              <w:t>ների և բնական պաշարների  նախ</w:t>
            </w:r>
            <w:proofErr w:type="spellStart"/>
            <w:r w:rsidRPr="000F5E51">
              <w:rPr>
                <w:rFonts w:ascii="GHEA Grapalat" w:hAnsi="GHEA Grapalat" w:cs="Arial"/>
                <w:sz w:val="20"/>
                <w:szCs w:val="20"/>
              </w:rPr>
              <w:t>արարություն</w:t>
            </w:r>
            <w:proofErr w:type="spellEnd"/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D5A02">
              <w:rPr>
                <w:rFonts w:ascii="GHEA Grapalat" w:hAnsi="GHEA Grapalat" w:cs="Arial"/>
                <w:sz w:val="20"/>
                <w:szCs w:val="20"/>
              </w:rPr>
              <w:t xml:space="preserve">2020 </w:t>
            </w:r>
            <w:r w:rsidRPr="004D5A02">
              <w:rPr>
                <w:rFonts w:ascii="GHEA Grapalat" w:hAnsi="GHEA Grapalat" w:cs="Arial"/>
                <w:sz w:val="20"/>
                <w:szCs w:val="20"/>
                <w:lang w:val="ru-RU"/>
              </w:rPr>
              <w:t>թ</w:t>
            </w:r>
            <w:r w:rsidRPr="004D5A02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40465" w:rsidRPr="000F5E51" w:rsidTr="00DA0EAE">
        <w:trPr>
          <w:trHeight w:val="558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Ընդերքօգտագործման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թափոնների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գույքագրում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այդ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թվում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ընդերքօգտագործման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թափոնների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փակված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օբյեկտների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Հաշվառել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տարածքում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առկա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ընդերքօգտագործման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թափոնները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գնահատել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թափոններով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զբաղեցրած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շրջանառությունից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դուրս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մնացած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հողային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պաշարների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ծավալը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գնահատել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ընդերքօգտագործման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թափոնների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lastRenderedPageBreak/>
              <w:t>տեղադրման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պահման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հողերի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վրա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դրևսորվող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բացասական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ազդեցությունը</w:t>
            </w:r>
            <w:proofErr w:type="spellEnd"/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lastRenderedPageBreak/>
              <w:t>Ընդերքօգտագործման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թափոնների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զբաղեցրած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հողերի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հաշվառում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աղտոտվածության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գնահատում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աղտոտվածության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նվազեցմանն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չեզոքացմանն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ուղղված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կազմման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ելակետային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տվյալների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օրենքով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չարգելված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աղբյուրներ</w:t>
            </w:r>
            <w:proofErr w:type="spellEnd"/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բնապահպանության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2018-2025թթ.</w:t>
            </w:r>
          </w:p>
        </w:tc>
      </w:tr>
      <w:tr w:rsidR="00840465" w:rsidRPr="000F5E51" w:rsidTr="00DA0EAE">
        <w:trPr>
          <w:trHeight w:val="558"/>
        </w:trPr>
        <w:tc>
          <w:tcPr>
            <w:tcW w:w="639" w:type="dxa"/>
          </w:tcPr>
          <w:p w:rsidR="00840465" w:rsidRPr="000F5E51" w:rsidRDefault="00840465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Ընդերքօգտագործման</w:t>
            </w:r>
            <w:r w:rsidRPr="000F5E51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0F5E51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արդյունքում</w:t>
            </w:r>
            <w:r w:rsidRPr="000F5E51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հ</w:t>
            </w:r>
            <w:r w:rsidRPr="000F5E51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ողերի </w:t>
            </w:r>
            <w:r w:rsidRPr="000F5E51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աղտոտվածության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և հողերի վրա</w:t>
            </w:r>
            <w:r w:rsidRPr="000F5E51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այլ բացասական</w:t>
            </w:r>
            <w:r w:rsidRPr="000F5E51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>ազդեցությունների մոնիթորինգ</w:t>
            </w:r>
            <w:r w:rsidRPr="000F5E51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0F5E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իրականացնում</w:t>
            </w:r>
          </w:p>
        </w:tc>
        <w:tc>
          <w:tcPr>
            <w:tcW w:w="2551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Հողերի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աղտոտվածության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դեգրադացման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պարբերաբար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արդիականացվող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տեղակատվության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ստացման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գործընթացի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կանոնակարգում</w:t>
            </w:r>
            <w:proofErr w:type="spellEnd"/>
          </w:p>
        </w:tc>
        <w:tc>
          <w:tcPr>
            <w:tcW w:w="269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տարածքին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նպատակային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տեղեկատվության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ստացում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ապահովող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մոնիթորինգային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ցանցի</w:t>
            </w:r>
            <w:proofErr w:type="spellEnd"/>
            <w:r w:rsidRPr="000F5E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2063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օրենքով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չարգելված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աղբյուրներ</w:t>
            </w:r>
            <w:proofErr w:type="spellEnd"/>
          </w:p>
        </w:tc>
        <w:tc>
          <w:tcPr>
            <w:tcW w:w="2204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բնապահպանության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նախարարություն</w:t>
            </w:r>
            <w:proofErr w:type="spellEnd"/>
          </w:p>
          <w:p w:rsidR="00840465" w:rsidRPr="000F5E51" w:rsidRDefault="00840465" w:rsidP="0023786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2002թ.-ի 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հունվարի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14-ի N 26-Ն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</w:t>
            </w: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softHyphen/>
              <w:t>մամբ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սահմանված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պետական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</w:t>
            </w: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softHyphen/>
              <w:t>վար</w:t>
            </w: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softHyphen/>
              <w:t>ման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լիազոր</w:t>
            </w:r>
            <w:proofErr w:type="spellEnd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մարմիններ</w:t>
            </w:r>
            <w:proofErr w:type="spellEnd"/>
          </w:p>
        </w:tc>
        <w:tc>
          <w:tcPr>
            <w:tcW w:w="1396" w:type="dxa"/>
          </w:tcPr>
          <w:p w:rsidR="00840465" w:rsidRPr="000F5E51" w:rsidRDefault="00840465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2019թ. և </w:t>
            </w:r>
            <w:proofErr w:type="spellStart"/>
            <w:r w:rsidRPr="000F5E51">
              <w:rPr>
                <w:rFonts w:ascii="GHEA Grapalat" w:hAnsi="GHEA Grapalat" w:cs="Sylfaen"/>
                <w:color w:val="000000"/>
                <w:sz w:val="20"/>
                <w:szCs w:val="20"/>
              </w:rPr>
              <w:t>շարունակա-կան</w:t>
            </w:r>
            <w:proofErr w:type="spellEnd"/>
          </w:p>
        </w:tc>
      </w:tr>
    </w:tbl>
    <w:p w:rsidR="00840465" w:rsidRDefault="00840465" w:rsidP="00DA0EAE">
      <w:pPr>
        <w:tabs>
          <w:tab w:val="left" w:pos="1134"/>
        </w:tabs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840465" w:rsidRDefault="00840465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840465" w:rsidRPr="009A19B4" w:rsidRDefault="00840465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840465" w:rsidRPr="009A19B4" w:rsidRDefault="00840465" w:rsidP="00083E51">
      <w:pPr>
        <w:pStyle w:val="ListParagraph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lang w:val="af-ZA"/>
        </w:rPr>
      </w:pPr>
    </w:p>
    <w:sectPr w:rsidR="00840465" w:rsidRPr="009A19B4" w:rsidSect="00DA0EAE">
      <w:pgSz w:w="15840" w:h="12240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07A"/>
    <w:multiLevelType w:val="hybridMultilevel"/>
    <w:tmpl w:val="76F632B4"/>
    <w:lvl w:ilvl="0" w:tplc="6A5A9C0C">
      <w:start w:val="5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B41AE816">
      <w:start w:val="1"/>
      <w:numFmt w:val="decimal"/>
      <w:lvlText w:val="%2)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6E4FAA"/>
    <w:multiLevelType w:val="hybridMultilevel"/>
    <w:tmpl w:val="CC78AF72"/>
    <w:lvl w:ilvl="0" w:tplc="88FEEC22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6B02EFD"/>
    <w:multiLevelType w:val="hybridMultilevel"/>
    <w:tmpl w:val="76B0C88A"/>
    <w:lvl w:ilvl="0" w:tplc="481A90DE">
      <w:start w:val="1"/>
      <w:numFmt w:val="decimal"/>
      <w:lvlText w:val="%1."/>
      <w:lvlJc w:val="left"/>
      <w:pPr>
        <w:ind w:left="502" w:hanging="360"/>
      </w:pPr>
      <w:rPr>
        <w:rFonts w:cs="Sylfaen" w:hint="default"/>
        <w:b w:val="0"/>
        <w:color w:val="auto"/>
      </w:rPr>
    </w:lvl>
    <w:lvl w:ilvl="1" w:tplc="EFFE614C">
      <w:start w:val="1"/>
      <w:numFmt w:val="decimal"/>
      <w:lvlText w:val="%2)"/>
      <w:lvlJc w:val="left"/>
      <w:pPr>
        <w:ind w:left="928" w:hanging="360"/>
      </w:pPr>
      <w:rPr>
        <w:rFonts w:ascii="GHEA Grapalat" w:eastAsia="Times New Roman" w:hAnsi="GHEA Grapalat" w:cs="Arial"/>
        <w:b w:val="0"/>
      </w:rPr>
    </w:lvl>
    <w:lvl w:ilvl="2" w:tplc="D1A64B36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C413F7"/>
    <w:multiLevelType w:val="hybridMultilevel"/>
    <w:tmpl w:val="9C98FE40"/>
    <w:lvl w:ilvl="0" w:tplc="04090011">
      <w:start w:val="1"/>
      <w:numFmt w:val="decimal"/>
      <w:lvlText w:val="%1)"/>
      <w:lvlJc w:val="left"/>
      <w:pPr>
        <w:ind w:left="34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0B527B9C"/>
    <w:multiLevelType w:val="hybridMultilevel"/>
    <w:tmpl w:val="DB224AB0"/>
    <w:lvl w:ilvl="0" w:tplc="A23695A2">
      <w:start w:val="25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F17DCD"/>
    <w:multiLevelType w:val="hybridMultilevel"/>
    <w:tmpl w:val="D600397A"/>
    <w:lvl w:ilvl="0" w:tplc="C0786E02">
      <w:start w:val="1"/>
      <w:numFmt w:val="decimal"/>
      <w:lvlText w:val="%1)"/>
      <w:lvlJc w:val="left"/>
      <w:pPr>
        <w:ind w:left="1429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74F770B"/>
    <w:multiLevelType w:val="hybridMultilevel"/>
    <w:tmpl w:val="A282E2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A560ACB"/>
    <w:multiLevelType w:val="hybridMultilevel"/>
    <w:tmpl w:val="9FF4CDF4"/>
    <w:lvl w:ilvl="0" w:tplc="633684BA">
      <w:start w:val="24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975759"/>
    <w:multiLevelType w:val="hybridMultilevel"/>
    <w:tmpl w:val="6A7A527C"/>
    <w:lvl w:ilvl="0" w:tplc="AE3E12D8">
      <w:start w:val="28"/>
      <w:numFmt w:val="decimal"/>
      <w:lvlText w:val="%1."/>
      <w:lvlJc w:val="left"/>
      <w:pPr>
        <w:ind w:left="2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180"/>
      </w:pPr>
      <w:rPr>
        <w:rFonts w:cs="Times New Roman"/>
      </w:rPr>
    </w:lvl>
  </w:abstractNum>
  <w:abstractNum w:abstractNumId="9">
    <w:nsid w:val="1ACF3525"/>
    <w:multiLevelType w:val="hybridMultilevel"/>
    <w:tmpl w:val="2438F1E4"/>
    <w:lvl w:ilvl="0" w:tplc="32FAF68E">
      <w:start w:val="8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274343"/>
    <w:multiLevelType w:val="hybridMultilevel"/>
    <w:tmpl w:val="7390F014"/>
    <w:lvl w:ilvl="0" w:tplc="CB60C84A">
      <w:start w:val="22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C7306A"/>
    <w:multiLevelType w:val="hybridMultilevel"/>
    <w:tmpl w:val="D5420562"/>
    <w:lvl w:ilvl="0" w:tplc="E9C27A08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4E883810">
      <w:start w:val="1"/>
      <w:numFmt w:val="decimal"/>
      <w:lvlText w:val="%2."/>
      <w:lvlJc w:val="left"/>
      <w:pPr>
        <w:ind w:left="3120" w:hanging="132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D700583"/>
    <w:multiLevelType w:val="hybridMultilevel"/>
    <w:tmpl w:val="33849C7A"/>
    <w:lvl w:ilvl="0" w:tplc="040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F1F176F"/>
    <w:multiLevelType w:val="hybridMultilevel"/>
    <w:tmpl w:val="56E0270A"/>
    <w:lvl w:ilvl="0" w:tplc="222414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92E7A4A"/>
    <w:multiLevelType w:val="hybridMultilevel"/>
    <w:tmpl w:val="408CC00E"/>
    <w:lvl w:ilvl="0" w:tplc="E314296C">
      <w:start w:val="1"/>
      <w:numFmt w:val="decimal"/>
      <w:lvlText w:val="%1)"/>
      <w:lvlJc w:val="left"/>
      <w:pPr>
        <w:ind w:left="1069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CB00A47"/>
    <w:multiLevelType w:val="hybridMultilevel"/>
    <w:tmpl w:val="08F84B9A"/>
    <w:lvl w:ilvl="0" w:tplc="04090011">
      <w:start w:val="1"/>
      <w:numFmt w:val="decimal"/>
      <w:lvlText w:val="%1)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D623675"/>
    <w:multiLevelType w:val="hybridMultilevel"/>
    <w:tmpl w:val="D13C65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F81956"/>
    <w:multiLevelType w:val="hybridMultilevel"/>
    <w:tmpl w:val="44B6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E5986"/>
    <w:multiLevelType w:val="hybridMultilevel"/>
    <w:tmpl w:val="6D3AC208"/>
    <w:lvl w:ilvl="0" w:tplc="73E2280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890435"/>
    <w:multiLevelType w:val="hybridMultilevel"/>
    <w:tmpl w:val="446E8B44"/>
    <w:lvl w:ilvl="0" w:tplc="98D47516">
      <w:start w:val="27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374785"/>
    <w:multiLevelType w:val="hybridMultilevel"/>
    <w:tmpl w:val="BB462054"/>
    <w:lvl w:ilvl="0" w:tplc="AAFC3A48">
      <w:start w:val="10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3F15E4"/>
    <w:multiLevelType w:val="hybridMultilevel"/>
    <w:tmpl w:val="75384422"/>
    <w:lvl w:ilvl="0" w:tplc="2AEE5EAC">
      <w:start w:val="21"/>
      <w:numFmt w:val="decimal"/>
      <w:lvlText w:val="%1."/>
      <w:lvlJc w:val="center"/>
      <w:pPr>
        <w:ind w:left="1211" w:hanging="360"/>
      </w:pPr>
      <w:rPr>
        <w:rFonts w:cs="Times New Roman" w:hint="default"/>
      </w:rPr>
    </w:lvl>
    <w:lvl w:ilvl="1" w:tplc="4E4E966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AC278B"/>
    <w:multiLevelType w:val="hybridMultilevel"/>
    <w:tmpl w:val="8CA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B41B78"/>
    <w:multiLevelType w:val="hybridMultilevel"/>
    <w:tmpl w:val="14FC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DE4059"/>
    <w:multiLevelType w:val="hybridMultilevel"/>
    <w:tmpl w:val="C22809BE"/>
    <w:lvl w:ilvl="0" w:tplc="CE08C2F4">
      <w:start w:val="17"/>
      <w:numFmt w:val="decimal"/>
      <w:lvlText w:val="%1."/>
      <w:lvlJc w:val="center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9B04AC"/>
    <w:multiLevelType w:val="hybridMultilevel"/>
    <w:tmpl w:val="847056D0"/>
    <w:lvl w:ilvl="0" w:tplc="EF8449AA">
      <w:start w:val="13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BB22CE"/>
    <w:multiLevelType w:val="hybridMultilevel"/>
    <w:tmpl w:val="60BC9CE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>
    <w:nsid w:val="478571D0"/>
    <w:multiLevelType w:val="hybridMultilevel"/>
    <w:tmpl w:val="CB2AAF62"/>
    <w:lvl w:ilvl="0" w:tplc="E4504FDC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BF4BD9"/>
    <w:multiLevelType w:val="hybridMultilevel"/>
    <w:tmpl w:val="F934E8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F72A5E"/>
    <w:multiLevelType w:val="hybridMultilevel"/>
    <w:tmpl w:val="EA347C94"/>
    <w:lvl w:ilvl="0" w:tplc="8D50AC2C">
      <w:start w:val="18"/>
      <w:numFmt w:val="decimal"/>
      <w:lvlText w:val="%1.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F46775"/>
    <w:multiLevelType w:val="hybridMultilevel"/>
    <w:tmpl w:val="5C20980E"/>
    <w:lvl w:ilvl="0" w:tplc="0409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  <w:rPr>
        <w:rFonts w:cs="Times New Roman"/>
      </w:rPr>
    </w:lvl>
  </w:abstractNum>
  <w:abstractNum w:abstractNumId="31">
    <w:nsid w:val="5512679C"/>
    <w:multiLevelType w:val="hybridMultilevel"/>
    <w:tmpl w:val="6B0AFE1A"/>
    <w:lvl w:ilvl="0" w:tplc="1DF48914">
      <w:start w:val="12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2">
    <w:nsid w:val="62A531E3"/>
    <w:multiLevelType w:val="hybridMultilevel"/>
    <w:tmpl w:val="0F7A321C"/>
    <w:lvl w:ilvl="0" w:tplc="9B2C61F0">
      <w:start w:val="28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5F052A"/>
    <w:multiLevelType w:val="hybridMultilevel"/>
    <w:tmpl w:val="B9AECACE"/>
    <w:lvl w:ilvl="0" w:tplc="4D8084B6">
      <w:start w:val="2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7947B0"/>
    <w:multiLevelType w:val="multilevel"/>
    <w:tmpl w:val="0C58CB0A"/>
    <w:lvl w:ilvl="0">
      <w:start w:val="2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35">
    <w:nsid w:val="6CA709E8"/>
    <w:multiLevelType w:val="hybridMultilevel"/>
    <w:tmpl w:val="8FD09BE0"/>
    <w:lvl w:ilvl="0" w:tplc="C70239D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983947"/>
    <w:multiLevelType w:val="hybridMultilevel"/>
    <w:tmpl w:val="676E6FAC"/>
    <w:lvl w:ilvl="0" w:tplc="E314296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0F50D6"/>
    <w:multiLevelType w:val="hybridMultilevel"/>
    <w:tmpl w:val="D8CEEEFC"/>
    <w:lvl w:ilvl="0" w:tplc="D09EBBA6">
      <w:start w:val="15"/>
      <w:numFmt w:val="decimal"/>
      <w:lvlText w:val="%1.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DE3CF1"/>
    <w:multiLevelType w:val="hybridMultilevel"/>
    <w:tmpl w:val="787469C4"/>
    <w:lvl w:ilvl="0" w:tplc="4A02AEBC">
      <w:start w:val="30"/>
      <w:numFmt w:val="decimal"/>
      <w:lvlText w:val="%1."/>
      <w:lvlJc w:val="left"/>
      <w:pPr>
        <w:ind w:left="2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58009F"/>
    <w:multiLevelType w:val="hybridMultilevel"/>
    <w:tmpl w:val="F6F223C8"/>
    <w:lvl w:ilvl="0" w:tplc="25BE6104">
      <w:start w:val="1"/>
      <w:numFmt w:val="decimal"/>
      <w:lvlText w:val="%1)"/>
      <w:lvlJc w:val="left"/>
      <w:pPr>
        <w:ind w:left="786" w:hanging="360"/>
      </w:pPr>
      <w:rPr>
        <w:rFonts w:ascii="GHEA Grapalat" w:eastAsia="Times New Roman" w:hAnsi="GHEA Grapalat" w:cs="GHEA Grapalat Bold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76B72A36"/>
    <w:multiLevelType w:val="hybridMultilevel"/>
    <w:tmpl w:val="E158A15E"/>
    <w:lvl w:ilvl="0" w:tplc="F78AF0A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78E4503"/>
    <w:multiLevelType w:val="hybridMultilevel"/>
    <w:tmpl w:val="774C11E8"/>
    <w:lvl w:ilvl="0" w:tplc="0E68EA1C">
      <w:start w:val="20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C079CF"/>
    <w:multiLevelType w:val="hybridMultilevel"/>
    <w:tmpl w:val="B874D232"/>
    <w:lvl w:ilvl="0" w:tplc="9B2C61F0">
      <w:start w:val="28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B91F31"/>
    <w:multiLevelType w:val="hybridMultilevel"/>
    <w:tmpl w:val="8EE6783E"/>
    <w:lvl w:ilvl="0" w:tplc="58EE3942">
      <w:start w:val="14"/>
      <w:numFmt w:val="decimal"/>
      <w:lvlText w:val="%1."/>
      <w:lvlJc w:val="left"/>
      <w:pPr>
        <w:ind w:left="23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E24846"/>
    <w:multiLevelType w:val="hybridMultilevel"/>
    <w:tmpl w:val="1032B526"/>
    <w:lvl w:ilvl="0" w:tplc="DEC48A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886B4B"/>
    <w:multiLevelType w:val="hybridMultilevel"/>
    <w:tmpl w:val="FD9861D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4"/>
  </w:num>
  <w:num w:numId="5">
    <w:abstractNumId w:val="28"/>
  </w:num>
  <w:num w:numId="6">
    <w:abstractNumId w:val="36"/>
  </w:num>
  <w:num w:numId="7">
    <w:abstractNumId w:val="3"/>
  </w:num>
  <w:num w:numId="8">
    <w:abstractNumId w:val="15"/>
  </w:num>
  <w:num w:numId="9">
    <w:abstractNumId w:val="2"/>
  </w:num>
  <w:num w:numId="10">
    <w:abstractNumId w:val="44"/>
  </w:num>
  <w:num w:numId="11">
    <w:abstractNumId w:val="22"/>
  </w:num>
  <w:num w:numId="12">
    <w:abstractNumId w:val="39"/>
  </w:num>
  <w:num w:numId="13">
    <w:abstractNumId w:val="0"/>
  </w:num>
  <w:num w:numId="14">
    <w:abstractNumId w:val="27"/>
  </w:num>
  <w:num w:numId="15">
    <w:abstractNumId w:val="23"/>
  </w:num>
  <w:num w:numId="16">
    <w:abstractNumId w:val="34"/>
  </w:num>
  <w:num w:numId="17">
    <w:abstractNumId w:val="45"/>
  </w:num>
  <w:num w:numId="18">
    <w:abstractNumId w:val="31"/>
  </w:num>
  <w:num w:numId="19">
    <w:abstractNumId w:val="35"/>
  </w:num>
  <w:num w:numId="20">
    <w:abstractNumId w:val="9"/>
  </w:num>
  <w:num w:numId="21">
    <w:abstractNumId w:val="20"/>
  </w:num>
  <w:num w:numId="22">
    <w:abstractNumId w:val="25"/>
  </w:num>
  <w:num w:numId="23">
    <w:abstractNumId w:val="12"/>
  </w:num>
  <w:num w:numId="24">
    <w:abstractNumId w:val="43"/>
  </w:num>
  <w:num w:numId="25">
    <w:abstractNumId w:val="37"/>
  </w:num>
  <w:num w:numId="26">
    <w:abstractNumId w:val="24"/>
  </w:num>
  <w:num w:numId="27">
    <w:abstractNumId w:val="29"/>
  </w:num>
  <w:num w:numId="28">
    <w:abstractNumId w:val="41"/>
  </w:num>
  <w:num w:numId="29">
    <w:abstractNumId w:val="21"/>
  </w:num>
  <w:num w:numId="30">
    <w:abstractNumId w:val="30"/>
  </w:num>
  <w:num w:numId="31">
    <w:abstractNumId w:val="10"/>
  </w:num>
  <w:num w:numId="32">
    <w:abstractNumId w:val="7"/>
  </w:num>
  <w:num w:numId="33">
    <w:abstractNumId w:val="4"/>
  </w:num>
  <w:num w:numId="34">
    <w:abstractNumId w:val="33"/>
  </w:num>
  <w:num w:numId="35">
    <w:abstractNumId w:val="19"/>
  </w:num>
  <w:num w:numId="36">
    <w:abstractNumId w:val="26"/>
  </w:num>
  <w:num w:numId="37">
    <w:abstractNumId w:val="5"/>
  </w:num>
  <w:num w:numId="38">
    <w:abstractNumId w:val="32"/>
  </w:num>
  <w:num w:numId="39">
    <w:abstractNumId w:val="8"/>
  </w:num>
  <w:num w:numId="40">
    <w:abstractNumId w:val="42"/>
  </w:num>
  <w:num w:numId="41">
    <w:abstractNumId w:val="6"/>
  </w:num>
  <w:num w:numId="42">
    <w:abstractNumId w:val="17"/>
  </w:num>
  <w:num w:numId="43">
    <w:abstractNumId w:val="13"/>
  </w:num>
  <w:num w:numId="44">
    <w:abstractNumId w:val="1"/>
  </w:num>
  <w:num w:numId="45">
    <w:abstractNumId w:val="38"/>
  </w:num>
  <w:num w:numId="46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D3D"/>
    <w:rsid w:val="0000791A"/>
    <w:rsid w:val="00012326"/>
    <w:rsid w:val="000170E4"/>
    <w:rsid w:val="00022640"/>
    <w:rsid w:val="00023E0A"/>
    <w:rsid w:val="00030091"/>
    <w:rsid w:val="0006265F"/>
    <w:rsid w:val="0007245E"/>
    <w:rsid w:val="0008256D"/>
    <w:rsid w:val="00083E51"/>
    <w:rsid w:val="000A0B8A"/>
    <w:rsid w:val="000A4279"/>
    <w:rsid w:val="000F5E51"/>
    <w:rsid w:val="00100EB4"/>
    <w:rsid w:val="00124D42"/>
    <w:rsid w:val="00155AD1"/>
    <w:rsid w:val="00164726"/>
    <w:rsid w:val="00181C8D"/>
    <w:rsid w:val="0019501A"/>
    <w:rsid w:val="001B2558"/>
    <w:rsid w:val="0023786E"/>
    <w:rsid w:val="002435A1"/>
    <w:rsid w:val="00275428"/>
    <w:rsid w:val="002906B8"/>
    <w:rsid w:val="002922D0"/>
    <w:rsid w:val="002D3AF1"/>
    <w:rsid w:val="002D7E93"/>
    <w:rsid w:val="002E73FD"/>
    <w:rsid w:val="002F442B"/>
    <w:rsid w:val="002F7B07"/>
    <w:rsid w:val="00306E42"/>
    <w:rsid w:val="00314050"/>
    <w:rsid w:val="00340DC6"/>
    <w:rsid w:val="00343C9D"/>
    <w:rsid w:val="00353190"/>
    <w:rsid w:val="0035390A"/>
    <w:rsid w:val="0036294D"/>
    <w:rsid w:val="003673CE"/>
    <w:rsid w:val="00367BB0"/>
    <w:rsid w:val="003801E7"/>
    <w:rsid w:val="00397215"/>
    <w:rsid w:val="003C6E9D"/>
    <w:rsid w:val="003C7ACD"/>
    <w:rsid w:val="003C7AEA"/>
    <w:rsid w:val="003D1D2E"/>
    <w:rsid w:val="003D6D18"/>
    <w:rsid w:val="00406457"/>
    <w:rsid w:val="004065B8"/>
    <w:rsid w:val="00414BC9"/>
    <w:rsid w:val="00431881"/>
    <w:rsid w:val="004509B0"/>
    <w:rsid w:val="00457CC0"/>
    <w:rsid w:val="0046745F"/>
    <w:rsid w:val="00472501"/>
    <w:rsid w:val="004903BB"/>
    <w:rsid w:val="00496A6E"/>
    <w:rsid w:val="00497E5D"/>
    <w:rsid w:val="004A149C"/>
    <w:rsid w:val="004B0D17"/>
    <w:rsid w:val="004D5A02"/>
    <w:rsid w:val="004F452E"/>
    <w:rsid w:val="004F4841"/>
    <w:rsid w:val="00501B7E"/>
    <w:rsid w:val="00504708"/>
    <w:rsid w:val="0051547F"/>
    <w:rsid w:val="00570C75"/>
    <w:rsid w:val="0057193B"/>
    <w:rsid w:val="00573641"/>
    <w:rsid w:val="0059156A"/>
    <w:rsid w:val="005919C8"/>
    <w:rsid w:val="00593EF7"/>
    <w:rsid w:val="005A2E50"/>
    <w:rsid w:val="005A7960"/>
    <w:rsid w:val="005D067B"/>
    <w:rsid w:val="005E1D29"/>
    <w:rsid w:val="00610A4B"/>
    <w:rsid w:val="006151FD"/>
    <w:rsid w:val="006249D8"/>
    <w:rsid w:val="00654671"/>
    <w:rsid w:val="006607DF"/>
    <w:rsid w:val="00667C20"/>
    <w:rsid w:val="00671EE0"/>
    <w:rsid w:val="006A636A"/>
    <w:rsid w:val="006B1A46"/>
    <w:rsid w:val="006B6B02"/>
    <w:rsid w:val="006C4B85"/>
    <w:rsid w:val="006D5C31"/>
    <w:rsid w:val="006E7AD6"/>
    <w:rsid w:val="006F5F17"/>
    <w:rsid w:val="00702573"/>
    <w:rsid w:val="00705D3D"/>
    <w:rsid w:val="0070676D"/>
    <w:rsid w:val="00763C1D"/>
    <w:rsid w:val="00782310"/>
    <w:rsid w:val="0078472B"/>
    <w:rsid w:val="00792739"/>
    <w:rsid w:val="007A4F9F"/>
    <w:rsid w:val="007C1598"/>
    <w:rsid w:val="007E1381"/>
    <w:rsid w:val="007E3076"/>
    <w:rsid w:val="007F014B"/>
    <w:rsid w:val="007F3711"/>
    <w:rsid w:val="007F7446"/>
    <w:rsid w:val="00813276"/>
    <w:rsid w:val="00840465"/>
    <w:rsid w:val="00846213"/>
    <w:rsid w:val="00850E3E"/>
    <w:rsid w:val="00862D8D"/>
    <w:rsid w:val="00864695"/>
    <w:rsid w:val="00865D21"/>
    <w:rsid w:val="0087188A"/>
    <w:rsid w:val="00871D87"/>
    <w:rsid w:val="008859D3"/>
    <w:rsid w:val="008956B2"/>
    <w:rsid w:val="008C02A2"/>
    <w:rsid w:val="008D59E5"/>
    <w:rsid w:val="008E11F5"/>
    <w:rsid w:val="008E7A5F"/>
    <w:rsid w:val="008F34C1"/>
    <w:rsid w:val="009147F2"/>
    <w:rsid w:val="00936901"/>
    <w:rsid w:val="00946539"/>
    <w:rsid w:val="009619AA"/>
    <w:rsid w:val="00964B92"/>
    <w:rsid w:val="00972387"/>
    <w:rsid w:val="009A0742"/>
    <w:rsid w:val="009A19B4"/>
    <w:rsid w:val="009A20F8"/>
    <w:rsid w:val="009A4774"/>
    <w:rsid w:val="009A7AA9"/>
    <w:rsid w:val="009B5CB0"/>
    <w:rsid w:val="009C1F22"/>
    <w:rsid w:val="009E31F3"/>
    <w:rsid w:val="009E3FD5"/>
    <w:rsid w:val="009F1F5C"/>
    <w:rsid w:val="009F3A3E"/>
    <w:rsid w:val="00A35F48"/>
    <w:rsid w:val="00A40CEE"/>
    <w:rsid w:val="00A41CE5"/>
    <w:rsid w:val="00A46A97"/>
    <w:rsid w:val="00AB3133"/>
    <w:rsid w:val="00AB4F2A"/>
    <w:rsid w:val="00AD465A"/>
    <w:rsid w:val="00AE4F6D"/>
    <w:rsid w:val="00AE6D5A"/>
    <w:rsid w:val="00AF3176"/>
    <w:rsid w:val="00AF3DF3"/>
    <w:rsid w:val="00B02B54"/>
    <w:rsid w:val="00B14F77"/>
    <w:rsid w:val="00B46DA5"/>
    <w:rsid w:val="00B732AA"/>
    <w:rsid w:val="00B8167F"/>
    <w:rsid w:val="00BB6AE5"/>
    <w:rsid w:val="00BB6D9A"/>
    <w:rsid w:val="00BC6F00"/>
    <w:rsid w:val="00BE40A2"/>
    <w:rsid w:val="00C14AB7"/>
    <w:rsid w:val="00C32A3C"/>
    <w:rsid w:val="00C41190"/>
    <w:rsid w:val="00C50FD0"/>
    <w:rsid w:val="00C61DD1"/>
    <w:rsid w:val="00C762F3"/>
    <w:rsid w:val="00C9300F"/>
    <w:rsid w:val="00CA5392"/>
    <w:rsid w:val="00CB3084"/>
    <w:rsid w:val="00CB72EC"/>
    <w:rsid w:val="00CC0626"/>
    <w:rsid w:val="00CC3038"/>
    <w:rsid w:val="00CC3A96"/>
    <w:rsid w:val="00CD4A88"/>
    <w:rsid w:val="00CE178B"/>
    <w:rsid w:val="00CE27EA"/>
    <w:rsid w:val="00D32B6E"/>
    <w:rsid w:val="00D524F4"/>
    <w:rsid w:val="00D84D0B"/>
    <w:rsid w:val="00D911CE"/>
    <w:rsid w:val="00DA0EAE"/>
    <w:rsid w:val="00DB2B6F"/>
    <w:rsid w:val="00DD436F"/>
    <w:rsid w:val="00DF45AC"/>
    <w:rsid w:val="00E06F09"/>
    <w:rsid w:val="00E177E6"/>
    <w:rsid w:val="00E24B31"/>
    <w:rsid w:val="00E2628A"/>
    <w:rsid w:val="00E353EE"/>
    <w:rsid w:val="00E40026"/>
    <w:rsid w:val="00E42F7B"/>
    <w:rsid w:val="00E566AB"/>
    <w:rsid w:val="00E9088B"/>
    <w:rsid w:val="00E92FA4"/>
    <w:rsid w:val="00E931AC"/>
    <w:rsid w:val="00ED10B7"/>
    <w:rsid w:val="00EF0DC0"/>
    <w:rsid w:val="00EF56CC"/>
    <w:rsid w:val="00F103EC"/>
    <w:rsid w:val="00F135A2"/>
    <w:rsid w:val="00F26876"/>
    <w:rsid w:val="00F37515"/>
    <w:rsid w:val="00F421DE"/>
    <w:rsid w:val="00F50847"/>
    <w:rsid w:val="00F51C8F"/>
    <w:rsid w:val="00F57758"/>
    <w:rsid w:val="00F839EC"/>
    <w:rsid w:val="00F90643"/>
    <w:rsid w:val="00FA4EA0"/>
    <w:rsid w:val="00FC227D"/>
    <w:rsid w:val="00FC7C56"/>
    <w:rsid w:val="00FE34C6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99"/>
    <w:qFormat/>
    <w:rsid w:val="00705D3D"/>
    <w:pPr>
      <w:ind w:left="720"/>
      <w:contextualSpacing/>
    </w:pPr>
  </w:style>
  <w:style w:type="character" w:styleId="Hyperlink">
    <w:name w:val="Hyperlink"/>
    <w:uiPriority w:val="99"/>
    <w:rsid w:val="00472501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99"/>
    <w:locked/>
    <w:rsid w:val="00F51C8F"/>
  </w:style>
  <w:style w:type="character" w:styleId="Strong">
    <w:name w:val="Strong"/>
    <w:uiPriority w:val="99"/>
    <w:qFormat/>
    <w:rsid w:val="00CC0626"/>
    <w:rPr>
      <w:rFonts w:cs="Times New Roman"/>
      <w:b/>
    </w:rPr>
  </w:style>
  <w:style w:type="paragraph" w:styleId="NormalWeb">
    <w:name w:val="Normal (Web)"/>
    <w:aliases w:val="webb"/>
    <w:basedOn w:val="Normal"/>
    <w:link w:val="NormalWebChar"/>
    <w:uiPriority w:val="99"/>
    <w:rsid w:val="002906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customStyle="1" w:styleId="mechtexChar">
    <w:name w:val="mechtex Char"/>
    <w:link w:val="mechtex"/>
    <w:uiPriority w:val="99"/>
    <w:locked/>
    <w:rsid w:val="00F839EC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839EC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9088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E9088B"/>
    <w:rPr>
      <w:rFonts w:ascii="Calibri" w:hAnsi="Calibri" w:cs="Times New Roman"/>
    </w:rPr>
  </w:style>
  <w:style w:type="paragraph" w:customStyle="1" w:styleId="vhc">
    <w:name w:val="vhc"/>
    <w:basedOn w:val="Normal"/>
    <w:uiPriority w:val="99"/>
    <w:rsid w:val="007E1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135A2"/>
    <w:rPr>
      <w:rFonts w:ascii="Times New Roman" w:hAnsi="Times New Roman"/>
      <w:sz w:val="24"/>
    </w:rPr>
  </w:style>
  <w:style w:type="paragraph" w:styleId="BodyText">
    <w:name w:val="Body Text"/>
    <w:aliases w:val="(Main Text),date,Body Text (Main text)"/>
    <w:basedOn w:val="Normal"/>
    <w:link w:val="BodyTextChar"/>
    <w:uiPriority w:val="99"/>
    <w:rsid w:val="00AF3DF3"/>
    <w:pPr>
      <w:spacing w:after="120"/>
    </w:pPr>
  </w:style>
  <w:style w:type="character" w:customStyle="1" w:styleId="BodyTextChar">
    <w:name w:val="Body Text Char"/>
    <w:aliases w:val="(Main Text) Char,date Char,Body Text (Main text) Char"/>
    <w:link w:val="BodyText"/>
    <w:uiPriority w:val="99"/>
    <w:locked/>
    <w:rsid w:val="00AF3DF3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895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uiPriority w:val="99"/>
    <w:rsid w:val="00340DC6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2264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022640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bc6k">
    <w:name w:val="bc6k"/>
    <w:basedOn w:val="Normal"/>
    <w:uiPriority w:val="99"/>
    <w:rsid w:val="000226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D5A02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1365</Words>
  <Characters>7787</Characters>
  <Application>Microsoft Office Word</Application>
  <DocSecurity>0</DocSecurity>
  <Lines>64</Lines>
  <Paragraphs>18</Paragraphs>
  <ScaleCrop>false</ScaleCrop>
  <Company>diakov.net</Company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Qerobyan Shushanik</dc:creator>
  <cp:keywords/>
  <dc:description/>
  <cp:lastModifiedBy>Tatevik</cp:lastModifiedBy>
  <cp:revision>4</cp:revision>
  <cp:lastPrinted>2018-02-20T11:50:00Z</cp:lastPrinted>
  <dcterms:created xsi:type="dcterms:W3CDTF">2018-03-12T12:45:00Z</dcterms:created>
  <dcterms:modified xsi:type="dcterms:W3CDTF">2018-03-16T05:31:00Z</dcterms:modified>
</cp:coreProperties>
</file>