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30" w:rsidRPr="007E3CB3" w:rsidRDefault="006E7230" w:rsidP="00630BA4">
      <w:pPr>
        <w:pStyle w:val="Bodytext20"/>
        <w:shd w:val="clear" w:color="auto" w:fill="auto"/>
        <w:spacing w:before="0" w:after="160" w:line="360" w:lineRule="auto"/>
        <w:ind w:left="9072" w:right="11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E3CB3">
        <w:rPr>
          <w:rFonts w:ascii="Sylfaen" w:hAnsi="Sylfaen"/>
          <w:sz w:val="24"/>
          <w:szCs w:val="24"/>
        </w:rPr>
        <w:t>ՀԱՎԵԼՎԱԾ</w:t>
      </w:r>
    </w:p>
    <w:p w:rsidR="008046E4" w:rsidRPr="007E3CB3" w:rsidRDefault="006E7230" w:rsidP="00630BA4">
      <w:pPr>
        <w:pStyle w:val="Bodytext20"/>
        <w:shd w:val="clear" w:color="auto" w:fill="auto"/>
        <w:spacing w:before="0" w:after="160" w:line="360" w:lineRule="auto"/>
        <w:ind w:left="9072" w:right="113"/>
        <w:jc w:val="center"/>
        <w:rPr>
          <w:rFonts w:ascii="Sylfaen" w:hAnsi="Sylfaen"/>
          <w:sz w:val="24"/>
          <w:szCs w:val="24"/>
        </w:rPr>
      </w:pPr>
      <w:r w:rsidRPr="007E3CB3">
        <w:rPr>
          <w:rFonts w:ascii="Sylfaen" w:hAnsi="Sylfaen"/>
          <w:sz w:val="24"/>
          <w:szCs w:val="24"/>
        </w:rPr>
        <w:t>Եվրասիական տնտեսական հանձնաժողովի խորհրդի2016 թվականի փետրվարի 12-իթիվ 43 որոշմամբ</w:t>
      </w:r>
    </w:p>
    <w:p w:rsidR="006E7230" w:rsidRPr="007E3CB3" w:rsidRDefault="006E7230" w:rsidP="00630BA4">
      <w:pPr>
        <w:pStyle w:val="Bodytext20"/>
        <w:shd w:val="clear" w:color="auto" w:fill="auto"/>
        <w:spacing w:before="0" w:line="360" w:lineRule="auto"/>
        <w:ind w:left="9072" w:right="964"/>
        <w:jc w:val="center"/>
        <w:rPr>
          <w:rFonts w:ascii="Sylfaen" w:hAnsi="Sylfaen"/>
          <w:sz w:val="24"/>
          <w:szCs w:val="24"/>
        </w:rPr>
      </w:pPr>
    </w:p>
    <w:p w:rsidR="008046E4" w:rsidRPr="007E3CB3" w:rsidRDefault="006E7230" w:rsidP="00A75569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7E3CB3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8046E4" w:rsidRPr="00607684" w:rsidRDefault="006E7230" w:rsidP="00A75569">
      <w:pPr>
        <w:pStyle w:val="Bodytext30"/>
        <w:shd w:val="clear" w:color="auto" w:fill="auto"/>
        <w:spacing w:after="160" w:line="360" w:lineRule="auto"/>
        <w:ind w:left="851" w:right="963"/>
        <w:rPr>
          <w:rFonts w:ascii="Sylfaen" w:hAnsi="Sylfaen"/>
          <w:sz w:val="24"/>
          <w:szCs w:val="24"/>
          <w:vertAlign w:val="superscript"/>
        </w:rPr>
      </w:pPr>
      <w:r w:rsidRPr="007E3CB3">
        <w:rPr>
          <w:rFonts w:ascii="Sylfaen" w:hAnsi="Sylfaen"/>
          <w:sz w:val="24"/>
          <w:szCs w:val="24"/>
        </w:rPr>
        <w:t xml:space="preserve">Եվրասիական տնտեսական հանձնաժողովի խորհրդի 2014 թվականի հոկտեմբերի 1-ի թիվ 79 որոշման մեջ </w:t>
      </w:r>
      <w:r w:rsidR="00607684">
        <w:rPr>
          <w:rFonts w:ascii="Sylfaen" w:hAnsi="Sylfaen"/>
          <w:sz w:val="24"/>
          <w:szCs w:val="24"/>
        </w:rPr>
        <w:t>կատարվող</w:t>
      </w:r>
    </w:p>
    <w:p w:rsidR="006E7230" w:rsidRPr="007E3CB3" w:rsidRDefault="006E7230" w:rsidP="00630BA4">
      <w:pPr>
        <w:pStyle w:val="Bodytext30"/>
        <w:shd w:val="clear" w:color="auto" w:fill="auto"/>
        <w:spacing w:after="0" w:line="360" w:lineRule="auto"/>
        <w:ind w:right="113"/>
        <w:rPr>
          <w:rFonts w:ascii="Sylfaen" w:hAnsi="Sylfaen"/>
          <w:sz w:val="24"/>
          <w:szCs w:val="24"/>
        </w:rPr>
      </w:pPr>
    </w:p>
    <w:p w:rsidR="008046E4" w:rsidRPr="007E3CB3" w:rsidRDefault="00957F81" w:rsidP="00A75569">
      <w:pPr>
        <w:pStyle w:val="Footnote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Pr="00957F81">
        <w:rPr>
          <w:rFonts w:ascii="Sylfaen" w:hAnsi="Sylfaen"/>
          <w:sz w:val="24"/>
          <w:szCs w:val="24"/>
        </w:rPr>
        <w:tab/>
      </w:r>
      <w:r w:rsidR="006E7230" w:rsidRPr="007E3CB3">
        <w:rPr>
          <w:rFonts w:ascii="Sylfaen" w:hAnsi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 xml:space="preserve">նվանման մեջ «Մաքսային միության </w:t>
      </w:r>
      <w:r w:rsidR="006E7230" w:rsidRPr="007E3CB3">
        <w:rPr>
          <w:rFonts w:ascii="Sylfaen" w:hAnsi="Sylfaen"/>
          <w:sz w:val="24"/>
          <w:szCs w:val="24"/>
        </w:rPr>
        <w:t>տեխնիկական կանոնակարգերի» բառերը փոխարինել «Եվրասիական</w:t>
      </w:r>
      <w:r w:rsidRPr="00957F81">
        <w:rPr>
          <w:rFonts w:ascii="Sylfaen" w:hAnsi="Sylfaen"/>
          <w:sz w:val="24"/>
          <w:szCs w:val="24"/>
        </w:rPr>
        <w:t> </w:t>
      </w:r>
      <w:r w:rsidR="006E7230" w:rsidRPr="007E3CB3">
        <w:rPr>
          <w:rFonts w:ascii="Sylfaen" w:hAnsi="Sylfaen"/>
          <w:sz w:val="24"/>
          <w:szCs w:val="24"/>
        </w:rPr>
        <w:t>տնտեսական միության տեխնիկական կանոնակարգերի» բառերով։</w:t>
      </w:r>
    </w:p>
    <w:p w:rsidR="008046E4" w:rsidRPr="007E3CB3" w:rsidRDefault="00957F81" w:rsidP="00A75569">
      <w:pPr>
        <w:pStyle w:val="Footnote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957F81">
        <w:rPr>
          <w:rFonts w:ascii="Sylfaen" w:hAnsi="Sylfaen"/>
          <w:sz w:val="24"/>
          <w:szCs w:val="24"/>
        </w:rPr>
        <w:tab/>
      </w:r>
      <w:r w:rsidR="006E7230" w:rsidRPr="007E3CB3">
        <w:rPr>
          <w:rFonts w:ascii="Sylfaen" w:hAnsi="Sylfaen"/>
          <w:sz w:val="24"/>
          <w:szCs w:val="24"/>
        </w:rPr>
        <w:t>Նախաբանը «2010 թ</w:t>
      </w:r>
      <w:r>
        <w:rPr>
          <w:rFonts w:ascii="Sylfaen" w:hAnsi="Sylfaen"/>
          <w:sz w:val="24"/>
          <w:szCs w:val="24"/>
        </w:rPr>
        <w:t>վականի» բառերից հետո լրացնել «</w:t>
      </w:r>
      <w:r w:rsidR="006E7230" w:rsidRPr="007E3CB3">
        <w:rPr>
          <w:rFonts w:ascii="Sylfaen" w:hAnsi="Sylfaen"/>
          <w:sz w:val="24"/>
          <w:szCs w:val="24"/>
        </w:rPr>
        <w:t>որոնք գործել են նախքան «Եվրասիական տնտեսական միության մասին» 2014 թվականի մայիսի 29-ի պայմանագիրն ուժի մեջ մտնելը» բառերով:</w:t>
      </w:r>
    </w:p>
    <w:p w:rsidR="008046E4" w:rsidRPr="00630BA4" w:rsidRDefault="00957F81" w:rsidP="00A75569">
      <w:pPr>
        <w:pStyle w:val="Footnote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630BA4">
        <w:rPr>
          <w:rFonts w:ascii="Sylfaen" w:hAnsi="Sylfaen"/>
          <w:spacing w:val="-4"/>
          <w:sz w:val="24"/>
          <w:szCs w:val="24"/>
        </w:rPr>
        <w:tab/>
      </w:r>
      <w:r w:rsidR="006E7230" w:rsidRPr="00630BA4">
        <w:rPr>
          <w:rFonts w:ascii="Sylfaen" w:hAnsi="Sylfaen"/>
          <w:spacing w:val="-4"/>
          <w:sz w:val="24"/>
          <w:szCs w:val="24"/>
        </w:rPr>
        <w:t>1-ին կետում «Մաքսային միության կանոնակարգերի» բառերը փոխարինել «Եվրասիական տնտեսական միության կանոնակարգերի» բառերով։</w:t>
      </w:r>
    </w:p>
    <w:p w:rsidR="00630BA4" w:rsidRPr="00607684" w:rsidRDefault="00957F81" w:rsidP="00A75569">
      <w:pPr>
        <w:pStyle w:val="Footnote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  <w:sectPr w:rsidR="00630BA4" w:rsidRPr="00607684" w:rsidSect="00326AD8">
          <w:footerReference w:type="even" r:id="rId8"/>
          <w:footerReference w:type="default" r:id="rId9"/>
          <w:pgSz w:w="16840" w:h="11907" w:orient="landscape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  <w:r w:rsidRPr="00630BA4">
        <w:rPr>
          <w:rFonts w:ascii="Sylfaen" w:hAnsi="Sylfaen"/>
          <w:spacing w:val="-4"/>
          <w:sz w:val="24"/>
          <w:szCs w:val="24"/>
        </w:rPr>
        <w:t>4.</w:t>
      </w:r>
      <w:r w:rsidRPr="00630BA4">
        <w:rPr>
          <w:rFonts w:ascii="Sylfaen" w:hAnsi="Sylfaen"/>
          <w:spacing w:val="-4"/>
          <w:sz w:val="24"/>
          <w:szCs w:val="24"/>
        </w:rPr>
        <w:tab/>
      </w:r>
      <w:r w:rsidR="006E7230" w:rsidRPr="00630BA4">
        <w:rPr>
          <w:rFonts w:ascii="Sylfaen" w:hAnsi="Sylfaen"/>
          <w:spacing w:val="-4"/>
          <w:sz w:val="24"/>
          <w:szCs w:val="24"/>
        </w:rPr>
        <w:t xml:space="preserve">Նշված Որոշմամբ հաստատված՝ Մաքսային միության տեխնիկական կանոնակարգերը մշակելու </w:t>
      </w:r>
      <w:r w:rsidR="009F5258">
        <w:rPr>
          <w:rFonts w:ascii="Sylfaen" w:hAnsi="Sylfaen"/>
          <w:spacing w:val="-4"/>
          <w:sz w:val="24"/>
          <w:szCs w:val="24"/>
        </w:rPr>
        <w:t>եւ</w:t>
      </w:r>
      <w:r w:rsidR="006E7230" w:rsidRPr="00630BA4">
        <w:rPr>
          <w:rFonts w:ascii="Sylfaen" w:hAnsi="Sylfaen"/>
          <w:spacing w:val="-4"/>
          <w:sz w:val="24"/>
          <w:szCs w:val="24"/>
        </w:rPr>
        <w:t xml:space="preserve"> Մաքսային</w:t>
      </w:r>
      <w:r w:rsidR="00630BA4" w:rsidRPr="00630BA4">
        <w:rPr>
          <w:rFonts w:ascii="Sylfaen" w:hAnsi="Sylfaen"/>
          <w:spacing w:val="-4"/>
          <w:sz w:val="24"/>
          <w:szCs w:val="24"/>
        </w:rPr>
        <w:t xml:space="preserve"> </w:t>
      </w:r>
      <w:r w:rsidR="006E7230" w:rsidRPr="00630BA4">
        <w:rPr>
          <w:rFonts w:ascii="Sylfaen" w:hAnsi="Sylfaen"/>
          <w:spacing w:val="-4"/>
          <w:sz w:val="24"/>
          <w:szCs w:val="24"/>
        </w:rPr>
        <w:t>միության տեխնիկական կանոնակարգերում փոփոխություններ կատարելու պլանը</w:t>
      </w:r>
      <w:r w:rsidR="00630BA4">
        <w:rPr>
          <w:rFonts w:ascii="Sylfaen" w:hAnsi="Sylfaen"/>
          <w:spacing w:val="-4"/>
          <w:sz w:val="24"/>
          <w:szCs w:val="24"/>
        </w:rPr>
        <w:t xml:space="preserve"> շարադրել հետ</w:t>
      </w:r>
      <w:r w:rsidR="009F5258">
        <w:rPr>
          <w:rFonts w:ascii="Sylfaen" w:hAnsi="Sylfaen"/>
          <w:spacing w:val="-4"/>
          <w:sz w:val="24"/>
          <w:szCs w:val="24"/>
        </w:rPr>
        <w:t>եւ</w:t>
      </w:r>
      <w:r w:rsidR="00630BA4">
        <w:rPr>
          <w:rFonts w:ascii="Sylfaen" w:hAnsi="Sylfaen"/>
          <w:spacing w:val="-4"/>
          <w:sz w:val="24"/>
          <w:szCs w:val="24"/>
        </w:rPr>
        <w:t>յալ խմբագրությամ</w:t>
      </w:r>
      <w:r w:rsidR="00607684">
        <w:rPr>
          <w:rFonts w:ascii="Sylfaen" w:hAnsi="Sylfaen"/>
          <w:spacing w:val="-4"/>
          <w:sz w:val="24"/>
          <w:szCs w:val="24"/>
        </w:rPr>
        <w:t>բ</w:t>
      </w:r>
      <w:r w:rsidR="00607684" w:rsidRPr="00607684">
        <w:rPr>
          <w:rFonts w:ascii="Sylfaen" w:hAnsi="Sylfaen"/>
          <w:spacing w:val="-4"/>
          <w:sz w:val="24"/>
          <w:szCs w:val="24"/>
        </w:rPr>
        <w:t>.</w:t>
      </w:r>
    </w:p>
    <w:p w:rsidR="006E7230" w:rsidRPr="007E3CB3" w:rsidRDefault="006E7230" w:rsidP="008A2502">
      <w:pPr>
        <w:spacing w:after="160" w:line="312" w:lineRule="auto"/>
        <w:ind w:left="7938"/>
        <w:jc w:val="center"/>
      </w:pPr>
      <w:r w:rsidRPr="007E3CB3">
        <w:lastRenderedPageBreak/>
        <w:t>«ՀԱՍՏԱՏՎԱԾ Է</w:t>
      </w:r>
    </w:p>
    <w:p w:rsidR="006E7230" w:rsidRPr="008A2502" w:rsidRDefault="006E7230" w:rsidP="008A2502">
      <w:pPr>
        <w:pStyle w:val="Bodytext20"/>
        <w:shd w:val="clear" w:color="auto" w:fill="auto"/>
        <w:spacing w:before="0" w:after="160" w:line="312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7E3CB3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87152" w:rsidRPr="00787152">
        <w:rPr>
          <w:rFonts w:ascii="Sylfaen" w:hAnsi="Sylfaen"/>
          <w:sz w:val="24"/>
          <w:szCs w:val="24"/>
        </w:rPr>
        <w:t xml:space="preserve"> </w:t>
      </w:r>
      <w:r w:rsidRPr="007E3CB3">
        <w:rPr>
          <w:rFonts w:ascii="Sylfaen" w:hAnsi="Sylfaen"/>
          <w:sz w:val="24"/>
          <w:szCs w:val="24"/>
        </w:rPr>
        <w:t>2014 թվականի հոկտեմբերի 1-ի թիվ 79 որոշմամբ</w:t>
      </w:r>
      <w:r w:rsidR="008A2502" w:rsidRPr="008A2502">
        <w:rPr>
          <w:rFonts w:ascii="Sylfaen" w:hAnsi="Sylfaen"/>
          <w:sz w:val="24"/>
          <w:szCs w:val="24"/>
        </w:rPr>
        <w:br/>
      </w:r>
      <w:r w:rsidRPr="007E3CB3">
        <w:rPr>
          <w:rFonts w:ascii="Sylfaen" w:hAnsi="Sylfaen"/>
          <w:sz w:val="24"/>
          <w:szCs w:val="24"/>
        </w:rPr>
        <w:t>(Եվրասիական տնտեսական հանձնաժողովի խորհրդի</w:t>
      </w:r>
      <w:r w:rsidR="00787152" w:rsidRPr="00787152">
        <w:rPr>
          <w:rFonts w:ascii="Sylfaen" w:hAnsi="Sylfaen"/>
          <w:sz w:val="24"/>
          <w:szCs w:val="24"/>
        </w:rPr>
        <w:t xml:space="preserve"> </w:t>
      </w:r>
      <w:r w:rsidRPr="007E3CB3">
        <w:rPr>
          <w:rFonts w:ascii="Sylfaen" w:hAnsi="Sylfaen"/>
          <w:sz w:val="24"/>
          <w:szCs w:val="24"/>
        </w:rPr>
        <w:t xml:space="preserve">2016 թվականի փետրվարի 12-ի </w:t>
      </w:r>
      <w:r w:rsidR="008A2502" w:rsidRPr="008A2502">
        <w:rPr>
          <w:rFonts w:ascii="Sylfaen" w:hAnsi="Sylfaen"/>
          <w:sz w:val="24"/>
          <w:szCs w:val="24"/>
        </w:rPr>
        <w:br/>
      </w:r>
      <w:r w:rsidRPr="007E3CB3">
        <w:rPr>
          <w:rFonts w:ascii="Sylfaen" w:hAnsi="Sylfaen"/>
          <w:sz w:val="24"/>
          <w:szCs w:val="24"/>
        </w:rPr>
        <w:t>թիվ 43 որոշման խմբագրությամբ)</w:t>
      </w:r>
    </w:p>
    <w:p w:rsidR="008A2502" w:rsidRPr="008A2502" w:rsidRDefault="008A2502" w:rsidP="008A2502">
      <w:pPr>
        <w:pStyle w:val="Bodytext20"/>
        <w:shd w:val="clear" w:color="auto" w:fill="auto"/>
        <w:spacing w:before="0" w:after="160" w:line="312" w:lineRule="auto"/>
        <w:ind w:left="7938" w:right="113"/>
        <w:contextualSpacing/>
        <w:jc w:val="center"/>
        <w:rPr>
          <w:rFonts w:ascii="Sylfaen" w:hAnsi="Sylfaen"/>
          <w:sz w:val="24"/>
          <w:szCs w:val="24"/>
        </w:rPr>
      </w:pPr>
    </w:p>
    <w:p w:rsidR="008046E4" w:rsidRPr="007E3CB3" w:rsidRDefault="006E7230" w:rsidP="008A2502">
      <w:pPr>
        <w:pStyle w:val="Heading20"/>
        <w:shd w:val="clear" w:color="auto" w:fill="auto"/>
        <w:spacing w:before="0" w:after="160" w:line="312" w:lineRule="auto"/>
        <w:ind w:left="567" w:right="679"/>
        <w:outlineLvl w:val="9"/>
        <w:rPr>
          <w:rFonts w:ascii="Sylfaen" w:hAnsi="Sylfaen"/>
          <w:sz w:val="24"/>
          <w:szCs w:val="24"/>
        </w:rPr>
      </w:pPr>
      <w:r w:rsidRPr="007E3CB3">
        <w:rPr>
          <w:rStyle w:val="Heading2Spacing4pt"/>
          <w:rFonts w:ascii="Sylfaen" w:hAnsi="Sylfaen"/>
          <w:b/>
          <w:spacing w:val="0"/>
          <w:sz w:val="24"/>
          <w:szCs w:val="24"/>
        </w:rPr>
        <w:t>ՊԼԱՆ</w:t>
      </w:r>
    </w:p>
    <w:p w:rsidR="008046E4" w:rsidRPr="007E3CB3" w:rsidRDefault="006E7230" w:rsidP="008A2502">
      <w:pPr>
        <w:pStyle w:val="Bodytext30"/>
        <w:shd w:val="clear" w:color="auto" w:fill="auto"/>
        <w:spacing w:after="160" w:line="312" w:lineRule="auto"/>
        <w:ind w:left="567" w:right="679"/>
        <w:rPr>
          <w:rFonts w:ascii="Sylfaen" w:hAnsi="Sylfaen"/>
          <w:sz w:val="24"/>
          <w:szCs w:val="24"/>
        </w:rPr>
      </w:pPr>
      <w:r w:rsidRPr="007E3CB3">
        <w:rPr>
          <w:rFonts w:ascii="Sylfaen" w:hAnsi="Sylfaen"/>
          <w:sz w:val="24"/>
          <w:szCs w:val="24"/>
        </w:rPr>
        <w:t xml:space="preserve">Եվրասիական տնտեսական միության տեխնիկական կանոնակարգերը մշակելու </w:t>
      </w:r>
      <w:r w:rsidR="009F5258">
        <w:rPr>
          <w:rFonts w:ascii="Sylfaen" w:hAnsi="Sylfaen"/>
          <w:sz w:val="24"/>
          <w:szCs w:val="24"/>
        </w:rPr>
        <w:t>եւ</w:t>
      </w:r>
      <w:r w:rsidRPr="007E3CB3">
        <w:rPr>
          <w:rFonts w:ascii="Sylfaen" w:hAnsi="Sylfaen"/>
          <w:sz w:val="24"/>
          <w:szCs w:val="24"/>
        </w:rPr>
        <w:t xml:space="preserve"> Մաքսային միության տեխնիկական կանոնակարգերում փոփոխություններ կատարելու</w:t>
      </w:r>
    </w:p>
    <w:tbl>
      <w:tblPr>
        <w:tblOverlap w:val="never"/>
        <w:tblW w:w="14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2255"/>
        <w:gridCol w:w="2129"/>
        <w:gridCol w:w="2691"/>
        <w:gridCol w:w="1713"/>
      </w:tblGrid>
      <w:tr w:rsidR="00D2706D" w:rsidRPr="007E3CB3" w:rsidTr="00DD2D1F">
        <w:trPr>
          <w:tblHeader/>
          <w:jc w:val="center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7E3CB3" w:rsidRDefault="006E7230" w:rsidP="00CF0A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Եվրասիական տնտեսական միության տեխնիկական կանոնակարգի (Մաքսային միության տեխնիկական կանոնակարգի) անվանումը</w:t>
            </w:r>
            <w:r w:rsidRPr="007E3CB3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7E3CB3" w:rsidRDefault="006E7230" w:rsidP="00CF0A8F">
            <w:pPr>
              <w:pStyle w:val="Bodytext20"/>
              <w:shd w:val="clear" w:color="auto" w:fill="auto"/>
              <w:spacing w:before="0" w:after="120" w:line="240" w:lineRule="auto"/>
              <w:ind w:left="8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Պատասխանատու մշակողը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7E3CB3" w:rsidRDefault="006E7230" w:rsidP="00CF0A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Համամշակողները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46E4" w:rsidRPr="007E3CB3" w:rsidRDefault="006E7230" w:rsidP="00CF0A8F">
            <w:pPr>
              <w:pStyle w:val="Bodytext20"/>
              <w:shd w:val="clear" w:color="auto" w:fill="auto"/>
              <w:spacing w:before="0" w:after="120" w:line="240" w:lineRule="auto"/>
              <w:ind w:left="-2" w:right="49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Տեղեկատվություն</w:t>
            </w:r>
            <w:r w:rsidR="00784838" w:rsidRPr="007E3CB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E3CB3">
              <w:rPr>
                <w:rFonts w:ascii="Sylfaen" w:hAnsi="Sylfaen"/>
                <w:sz w:val="24"/>
                <w:szCs w:val="24"/>
              </w:rPr>
              <w:t xml:space="preserve">ներկայացնելու ժամկետի վերաբերյալ </w:t>
            </w:r>
            <w:r w:rsidRPr="007E3CB3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6E4" w:rsidRPr="007E3CB3" w:rsidRDefault="006E7230" w:rsidP="00CF0A8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Միասնական</w:t>
            </w:r>
            <w:r w:rsidRPr="007E3CB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ցանկի</w:t>
            </w:r>
            <w:r w:rsidRPr="007E3CB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դիրքի</w:t>
            </w:r>
            <w:r w:rsidRPr="007E3CB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համարը</w:t>
            </w:r>
            <w:r w:rsidRPr="007E3CB3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</w:p>
        </w:tc>
      </w:tr>
      <w:tr w:rsidR="008046E4" w:rsidRPr="007E3CB3" w:rsidTr="007707C5">
        <w:trPr>
          <w:jc w:val="center"/>
        </w:trPr>
        <w:tc>
          <w:tcPr>
            <w:tcW w:w="1493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579" w:right="691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I. Եվրասիական տնտեսական միության տեխնիկական կանոնակարգերը մշակելը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787152" w:rsidP="008A2502">
            <w:pPr>
              <w:pStyle w:val="Bodytext20"/>
              <w:shd w:val="clear" w:color="auto" w:fill="auto"/>
              <w:tabs>
                <w:tab w:val="left" w:pos="569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</w:t>
            </w:r>
            <w:r w:rsidRPr="00787152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Ալկոհոլային արտադրանքի անվտանգության 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Եվրասիական տնտեսական </w:t>
            </w:r>
            <w:r w:rsidRPr="007E3CB3">
              <w:rPr>
                <w:rFonts w:ascii="Sylfaen" w:hAnsi="Sylfaen"/>
                <w:sz w:val="24"/>
                <w:szCs w:val="24"/>
              </w:rPr>
              <w:t>միության անդամ պետություններ (այսուհետ՝ անդամ պետություններ)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</w:t>
            </w:r>
            <w:r w:rsidR="00787152" w:rsidRPr="00787152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  <w:r w:rsidRPr="007E3CB3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54.</w:t>
            </w:r>
          </w:p>
        </w:tc>
      </w:tr>
      <w:tr w:rsidR="00D2706D" w:rsidRPr="007E3CB3" w:rsidTr="00DD2D1F">
        <w:trPr>
          <w:trHeight w:val="852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2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Հանքային պարարտանյութերին ներկայացվող պահանջների վերաբերյալ</w:t>
            </w:r>
          </w:p>
        </w:tc>
        <w:tc>
          <w:tcPr>
            <w:tcW w:w="2255" w:type="dxa"/>
            <w:shd w:val="clear" w:color="auto" w:fill="FFFFFF"/>
            <w:vAlign w:val="bottom"/>
          </w:tcPr>
          <w:p w:rsidR="00D2706D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</w:t>
            </w:r>
            <w:r w:rsidRPr="007E3CB3">
              <w:rPr>
                <w:rFonts w:ascii="Sylfaen" w:hAnsi="Sylfaen"/>
                <w:sz w:val="24"/>
                <w:szCs w:val="24"/>
              </w:rPr>
              <w:t>Հանրապետություն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</w:t>
            </w:r>
            <w:r w:rsidR="00787152" w:rsidRPr="00280293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47</w:t>
            </w:r>
          </w:p>
        </w:tc>
      </w:tr>
      <w:tr w:rsidR="00D2706D" w:rsidRPr="007E3CB3" w:rsidTr="00DD2D1F">
        <w:trPr>
          <w:trHeight w:val="1515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2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3.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Սպառողին էլեկտրական էներգասպառող սարքերի էներգետիկ արդյունավետության մասին տեղեկացնելու վերաբերյալ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</w:t>
            </w:r>
            <w:r w:rsidRPr="007E3CB3">
              <w:rPr>
                <w:rFonts w:ascii="Sylfaen" w:hAnsi="Sylfaen"/>
                <w:sz w:val="24"/>
                <w:szCs w:val="24"/>
              </w:rPr>
              <w:t>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</w:t>
            </w:r>
            <w:r w:rsidR="00787152" w:rsidRPr="00280293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CA24F7" w:rsidRPr="00CF0A8F" w:rsidRDefault="00280293" w:rsidP="00CF0A8F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4.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Ձկան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ձկնամթերքի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Ղազախստանի</w:t>
            </w:r>
            <w:r w:rsidR="008615A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E3CB3">
              <w:rPr>
                <w:rFonts w:ascii="Sylfaen" w:hAnsi="Sylfaen"/>
                <w:sz w:val="24"/>
                <w:szCs w:val="24"/>
              </w:rPr>
              <w:t>Հանրապետություն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</w:t>
            </w:r>
            <w:r w:rsidR="00787152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CF0A8F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36" w:lineRule="auto"/>
              <w:ind w:left="2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Որպես վառելիք օգտագործելու համար նախատեսված հեղուկացված ածխաջրածնային գազերին ներկայացվող պահանջներ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</w:t>
            </w:r>
            <w:r w:rsidRPr="007E3CB3">
              <w:rPr>
                <w:rFonts w:ascii="Sylfaen" w:hAnsi="Sylfaen"/>
                <w:sz w:val="24"/>
                <w:szCs w:val="24"/>
              </w:rPr>
              <w:t>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61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6.</w:t>
            </w:r>
            <w:r w:rsidR="006B7B9E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Ատրակցիոնների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</w:t>
            </w:r>
            <w:r w:rsidRPr="007E3CB3">
              <w:rPr>
                <w:rFonts w:ascii="Sylfaen" w:hAnsi="Sylfaen"/>
                <w:sz w:val="24"/>
                <w:szCs w:val="24"/>
              </w:rPr>
              <w:t>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III</w:t>
            </w:r>
            <w:r w:rsidR="008615A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8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center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7.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Շենքերի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շինությունների, շինարարական նյութերի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արտադրատեսակների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</w:t>
            </w:r>
            <w:r w:rsidRPr="007E3CB3">
              <w:rPr>
                <w:rFonts w:ascii="Sylfaen" w:hAnsi="Sylfaen"/>
                <w:sz w:val="24"/>
                <w:szCs w:val="24"/>
              </w:rPr>
              <w:t>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21,22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2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8.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Էլեկտրատեխնիկայի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ռադիոտեխնիկայի արտադրատեսակներում վտանգավոր նյութերի կիրառումը սահմանափակելու 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</w:t>
            </w:r>
            <w:r w:rsidRPr="007E3CB3">
              <w:rPr>
                <w:rFonts w:ascii="Sylfaen" w:hAnsi="Sylfaen"/>
                <w:sz w:val="24"/>
                <w:szCs w:val="24"/>
              </w:rPr>
              <w:t>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IV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9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9.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Փաթեթավորված խմելու ջրի, այդ թվում՝ բնական հանքային ջրերի անվտանգության մասին</w:t>
            </w:r>
          </w:p>
        </w:tc>
        <w:tc>
          <w:tcPr>
            <w:tcW w:w="2255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Եվրասիական</w:t>
            </w:r>
            <w:r w:rsidR="008615A0">
              <w:rPr>
                <w:rFonts w:ascii="Sylfaen" w:hAnsi="Sylfaen"/>
                <w:sz w:val="24"/>
                <w:szCs w:val="24"/>
              </w:rPr>
              <w:t xml:space="preserve"> տնտեսական </w:t>
            </w:r>
            <w:r w:rsidRPr="007E3CB3">
              <w:rPr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IV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9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10.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Մանկական խաղահրապարակների համար նախատեսված սարքավորումների անվտանգության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Եվրասիական</w:t>
            </w:r>
            <w:r w:rsidR="008615A0">
              <w:rPr>
                <w:rFonts w:ascii="Sylfaen" w:hAnsi="Sylfaen"/>
                <w:sz w:val="24"/>
                <w:szCs w:val="24"/>
              </w:rPr>
              <w:t xml:space="preserve"> տնտեսական </w:t>
            </w: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2015 թվականի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IV</w:t>
            </w:r>
            <w:r w:rsidR="008615A0" w:rsidRPr="006B7B9E"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11.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Էլեկտրական էներգասպառող</w:t>
            </w:r>
            <w:r w:rsidR="00BD483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սարքերի էներգետիկ արդյունավետությանը ներկայացվող պահանջների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Եվրասիական տնտեսական հանձնաժողով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9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12.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Կերերի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կերային հավելումների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55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13.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Թռչնամսի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դրա վերամշակումից ստացված արտադրանքի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7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14.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Բնական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տեխնածին բնույթի արտակարգ իրավիճակների դեպքում բնակչության պաշտպանության համար նախատեսված արտադրանքի անվտանգության 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63</w:t>
            </w:r>
          </w:p>
        </w:tc>
      </w:tr>
      <w:tr w:rsidR="00D2706D" w:rsidRPr="007E3CB3" w:rsidTr="00DD2D1F">
        <w:trPr>
          <w:trHeight w:val="890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15.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Քաղաքացիական պաշտպանության համար նախատեսված արտադրանքի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Հրդեհային անվտանգությանը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հրդեհաշիջման միջոցներին ներկայացվող պահանջների մասին</w:t>
            </w:r>
          </w:p>
        </w:tc>
        <w:tc>
          <w:tcPr>
            <w:tcW w:w="2255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38,39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17.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Ածուխին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դրա վերամշակումից ստացված արտադրանքին ներկայացվող պահանջներ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18.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Սննդամթերքի հետ շփվող նյութերի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400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1,2, 32,36</w:t>
            </w:r>
          </w:p>
        </w:tc>
      </w:tr>
      <w:tr w:rsidR="00D2706D" w:rsidRPr="007E3CB3" w:rsidTr="00DD2D1F">
        <w:trPr>
          <w:trHeight w:val="1147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3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19.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Տրանսպորտային փոխադրման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(կամ) օգտագործման համար նախապատրաստված նավթի անվտանգության մասին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64</w:t>
            </w:r>
          </w:p>
        </w:tc>
      </w:tr>
      <w:tr w:rsidR="00D2706D" w:rsidRPr="007E3CB3" w:rsidTr="00DD2D1F">
        <w:trPr>
          <w:trHeight w:val="854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7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20.</w:t>
            </w:r>
            <w:r w:rsidR="006B7B9E" w:rsidRPr="006B7B9E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Տրանսպորտային փոխադրման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(կամ) օգտագործման համար նախապատրաստված բնական այրվող գազի անվտանգության 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8615A0" w:rsidRPr="006B7B9E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65</w:t>
            </w:r>
          </w:p>
        </w:tc>
      </w:tr>
      <w:tr w:rsidR="00D2706D" w:rsidRPr="007E3CB3" w:rsidTr="00DD2D1F">
        <w:trPr>
          <w:trHeight w:val="1484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21.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Հեղուկ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գազանման ածխաջրածինների տրանսպորտային փոխադրման համար մայրուղային խողովակաշարերին ներկայացնող պահանջների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մասին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8615A0" w:rsidRPr="006B4BF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66</w:t>
            </w:r>
          </w:p>
        </w:tc>
      </w:tr>
      <w:tr w:rsidR="00D2706D" w:rsidRPr="007E3CB3" w:rsidTr="00DD2D1F">
        <w:trPr>
          <w:trHeight w:val="824"/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22.</w:t>
            </w:r>
            <w:r w:rsidR="006B4BF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Բարձրավոլտ սարքավորումների անվտանգության մասին</w:t>
            </w:r>
          </w:p>
        </w:tc>
        <w:tc>
          <w:tcPr>
            <w:tcW w:w="2255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2017 թվականի IV</w:t>
            </w:r>
            <w:r w:rsidR="008615A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</w:tr>
      <w:tr w:rsidR="008046E4" w:rsidRPr="007E3CB3" w:rsidTr="007707C5">
        <w:trPr>
          <w:trHeight w:val="708"/>
          <w:jc w:val="center"/>
        </w:trPr>
        <w:tc>
          <w:tcPr>
            <w:tcW w:w="14938" w:type="dxa"/>
            <w:gridSpan w:val="5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599" w:right="711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II. Մաքսային միության տեխնիկական կանոնակարգերում փոփոխություններ կատարելը</w:t>
            </w:r>
          </w:p>
        </w:tc>
      </w:tr>
      <w:tr w:rsidR="00D2706D" w:rsidRPr="007E3CB3" w:rsidTr="00DD2D1F">
        <w:trPr>
          <w:trHeight w:val="2986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Մ</w:t>
            </w:r>
            <w:r w:rsid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եքենաների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 սարքավորումների անվ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անգության մասին (ՄՄ ՏԿ 010/2011) (առ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տրի, հանրային սննդի ձեռնարկությունների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սննդային բլոկերի համար տեխնոլոգիական սարքավորումների խմբերի համապատասխանության հավաստման ձ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երի հետ կապված անորոշությունը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876ED8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տեխնիկական անճշտությունները վերացնելու մասով թիվ 1 փոփոխություններ) (1-ին հոդվածի 5-րդ կետ)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2014 թվականի IV</w:t>
            </w:r>
            <w:r w:rsidR="008615A0" w:rsidRPr="006B4BF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CA24F7" w:rsidRPr="00CF0A8F" w:rsidRDefault="00280293" w:rsidP="00CF0A8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A24F7">
              <w:rPr>
                <w:rStyle w:val="Bodytext21"/>
                <w:rFonts w:ascii="Sylfaen" w:hAnsi="Sylfaen"/>
                <w:sz w:val="24"/>
                <w:szCs w:val="24"/>
              </w:rPr>
              <w:t>2.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Փաթեթվածքի անվտանգության մասին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(ՄՄ ՏԿ 005/2011) (տեխնիկական կանոնակարգի կիրառման փորձի արդյունքներով դրա առանձին պահանջներ</w:t>
            </w:r>
            <w:r w:rsidR="00876ED8" w:rsidRPr="00CA24F7">
              <w:rPr>
                <w:rStyle w:val="Bodytext21"/>
                <w:rFonts w:ascii="Sylfaen" w:hAnsi="Sylfaen"/>
                <w:sz w:val="24"/>
                <w:szCs w:val="24"/>
              </w:rPr>
              <w:t>ը</w:t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 հստակեցնելու մասով թիվ 3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 xml:space="preserve">Բելառուսի </w:t>
            </w: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անդամ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2015 թվականի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I</w:t>
            </w:r>
            <w:r w:rsidR="008615A0" w:rsidRPr="00CF0A8F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եռամսյակ։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36</w:t>
            </w:r>
          </w:p>
        </w:tc>
      </w:tr>
      <w:tr w:rsidR="00D2706D" w:rsidRPr="007E3CB3" w:rsidTr="00DD2D1F">
        <w:trPr>
          <w:trHeight w:val="208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CA24F7" w:rsidRDefault="00280293" w:rsidP="00DD2D1F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ind w:right="144"/>
              <w:jc w:val="left"/>
              <w:rPr>
                <w:rFonts w:ascii="Sylfaen" w:hAnsi="Sylfaen"/>
                <w:sz w:val="24"/>
                <w:szCs w:val="24"/>
              </w:rPr>
            </w:pPr>
            <w:r w:rsidRPr="00CA24F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Հացահատիկի անվտանգության մասին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015/2011) (Մաքսային միության տեխնիկական կանոնակարգերում </w:t>
            </w:r>
            <w:r w:rsidR="004F72C9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տարընթերցվածքները </w:t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«կանճրակ» յուղատու մշակաբույսի </w:t>
            </w:r>
            <w:r w:rsidR="004F72C9" w:rsidRPr="00CA24F7">
              <w:rPr>
                <w:rStyle w:val="Bodytext21"/>
                <w:rFonts w:ascii="Sylfaen" w:hAnsi="Sylfaen"/>
                <w:sz w:val="24"/>
                <w:szCs w:val="24"/>
              </w:rPr>
              <w:t xml:space="preserve">դեպքում </w:t>
            </w:r>
            <w:r w:rsidR="006E7230" w:rsidRPr="00CA24F7">
              <w:rPr>
                <w:rStyle w:val="Bodytext21"/>
                <w:rFonts w:ascii="Sylfaen" w:hAnsi="Sylfaen"/>
                <w:sz w:val="24"/>
                <w:szCs w:val="24"/>
              </w:rPr>
              <w:t>բացառելու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IV</w:t>
            </w:r>
            <w:r w:rsidR="008615A0" w:rsidRPr="006B4BF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56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DD2D1F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ind w:right="14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4.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Թեթ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արդյունաբերության արտադրանքի անվտանգության մասին (ՄՄ ՏԿ 017/2011) (տեխնիկական կանոնակարգի կիրառման փորձի արդյունքներով տեխնիկական ուղղումներ կատարելու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IV</w:t>
            </w:r>
            <w:r w:rsidR="008615A0" w:rsidRPr="006B4BF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28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83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5.</w:t>
            </w:r>
            <w:r w:rsidR="006B4BF0" w:rsidRPr="006B4BF0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Երեխաների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դեռահասների համար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նախատեսված արտադրանքի անվտանգության մասին</w:t>
            </w:r>
            <w:r w:rsidR="00BD483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007/2011) (տեխնիկական կանոնակարգի կիրառման ոլորտը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առանձին դրույթներ հստակեցնելու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 xml:space="preserve">Ռուսաստանի </w:t>
            </w: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անդամ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2015 թվականի 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IV</w:t>
            </w:r>
            <w:r w:rsidR="008615A0" w:rsidRPr="006B4BF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DD2D1F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ind w:right="14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Սննդամթերքի մակնշման մասին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022/2011) («դյուրընթեռնելիություն», «հասկանալիություն», «ֆոնի ցայտունություն» եզրույթները հստակեցնելու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այլ պահանջների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2015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7.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Սննդամթերքի անվտանգության մասին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021/2011) (տեխնիկական կանոնակարգով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Սանիտարահամաճարակաբանական վերահսկողության</w:t>
            </w:r>
            <w:r w:rsidR="004F2194" w:rsidRPr="007E3CB3">
              <w:rPr>
                <w:rStyle w:val="Bodytext21"/>
                <w:rFonts w:ascii="Sylfaen" w:hAnsi="Sylfaen"/>
                <w:sz w:val="24"/>
                <w:szCs w:val="24"/>
              </w:rPr>
              <w:t>ը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(հսկողության</w:t>
            </w:r>
            <w:r w:rsidR="004F2194" w:rsidRPr="007E3CB3">
              <w:rPr>
                <w:rStyle w:val="Bodytext21"/>
                <w:rFonts w:ascii="Sylfaen" w:hAnsi="Sylfaen"/>
                <w:sz w:val="24"/>
                <w:szCs w:val="24"/>
              </w:rPr>
              <w:t>ը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) ենթակա ապրանքներին ներկայացվող միասնական սանիտարահամաճարակաբանական եւ հիգիենիկ պահանջներով սահմանված՝ սննդամթերքին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ներկայացվող պարտադիր պահանջները միատեսակ դարձնելու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8.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Երեխաների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դեռահասների համար նախատեսված արտադրանքի անվտանգության մասին</w:t>
            </w:r>
            <w:r w:rsidR="00BD483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007/2011) (հագուստի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կոշկեղենի՝ սպորտային տեսականու հետ կապված կիրառման ոլորտը հստակեցնելու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30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9.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Կաթի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կաթնամթերքի անվտանգության մասին (ՄՄ ՏԿ 033/2013) (վերականգնված կաթը կաթնամթերքին դասելու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6919A1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7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10.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Անվավոր տրանսպորտային միջոցների անվտանգության մասին (ՄՄ ՏԿ 018/2011) </w:t>
            </w:r>
            <w:r w:rsidR="007B5C33" w:rsidRPr="007E3CB3">
              <w:rPr>
                <w:rStyle w:val="Bodytext21"/>
                <w:rFonts w:ascii="Sylfaen" w:hAnsi="Sylfaen"/>
                <w:sz w:val="24"/>
                <w:szCs w:val="24"/>
              </w:rPr>
              <w:t>(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սանիտարական տրանսպորտին ներկայացվող պահանջները սահմանելու, անդամ պետությունների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օրենսդրությամբ նախատեսված նույնանման պահանջների իրագործման արդյունքներով առանձին դրույթներ ճշգրտելու մասով, ինչպես նա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անդամ պետությունների օրենսդրությանը համապատասխան արտակարգ իրավիճակները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տարերային աղետների հետ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անքները վերացնելու նպատակներով օգտագործման համար նախատեսված տրանսպորտային միջոցները փոխանցելու հետ կապված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11.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Կաթի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կաթնամթերքի անվտանգության մասին (ՄՄ ՏԿ 033/2013) (հասկացութային ապարատը ճշգրտելու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կաթ պարունակող մթերքի մակնշմանը ներկայացվող լրացուցիչ պահանջներ սահմանելու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trHeight w:val="2037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12.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Խաղալիքների անվտանգության մասին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008/2011) (տեխնիկական կանոնակարգի կիրառման ոլորտները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առանձին դրույթները հստակեցնելու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29</w:t>
            </w:r>
          </w:p>
        </w:tc>
      </w:tr>
      <w:tr w:rsidR="00D2706D" w:rsidRPr="007E3CB3" w:rsidTr="00DD2D1F">
        <w:trPr>
          <w:trHeight w:val="2252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607684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13.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Փոքրաչափ նավերի անվտանգության մասին (ՄՄ</w:t>
            </w:r>
            <w:r w:rsidR="00AA0500" w:rsidRPr="00AA0500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ՏԿ 026/2012) (տեխնիկական կանոնակարգի տարածման ոլորտը հստակեցնելու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D2706D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14.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Օծանելիքակոսմետիկական արտադրանքի անվտանգության մասին (ՄՄ ՏԿ 009/2011) («օծանելիքակոսմետիկական արտադրանք՝ արհեստական ար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այրուքի համար»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«վաճառող» եզրույթները ներառելու, կոսմետիկական արտադրանքի pH ջրածնային ցուցանիշի նկատմամբ պահանջները թարմացնելու, արժեքները թարմացնելու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1-5-րդ հավելվածների տեխնիկական սխալները վերացնելու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34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15.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Սննդային հավելումների, բուրավետիչների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տեխնոլոգիական օժանդակ միջոցների անվտանգությանը ներկայացվող պահանջներ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029/2012) (տեխնիկական կանոնակարգով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Սանիտարահամաճարակաբանական վերահսկողության</w:t>
            </w:r>
            <w:r w:rsidR="00A60D3C" w:rsidRPr="007E3CB3">
              <w:rPr>
                <w:rStyle w:val="Bodytext21"/>
                <w:rFonts w:ascii="Sylfaen" w:hAnsi="Sylfaen"/>
                <w:sz w:val="24"/>
                <w:szCs w:val="24"/>
              </w:rPr>
              <w:t>ը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(հսկողության</w:t>
            </w:r>
            <w:r w:rsidR="00A60D3C" w:rsidRPr="007E3CB3">
              <w:rPr>
                <w:rStyle w:val="Bodytext21"/>
                <w:rFonts w:ascii="Sylfaen" w:hAnsi="Sylfaen"/>
                <w:sz w:val="24"/>
                <w:szCs w:val="24"/>
              </w:rPr>
              <w:t>ը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) ենթակա ապրանքներին ներկայացվող միասնական սանիտարահամաճարակաբանական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հիգիենիկ պահանջներով սահմանված՝ սննդային հավելումներին ներկայացվող պահանջները միատեսակ դարձնելու մասով, ինչպես նա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մսային արտադրանքի մեջ ֆոսֆորաթթվի եւ սննդային ֆոսֆատի պարունակության մասով թիվ 2 փոփոխություններ) 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CA24F7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54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16.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«Ավելցուկային ճնշման տակ աշխատող սարքավորումների անվտանգության մասին»</w:t>
            </w:r>
            <w:r w:rsidR="001E570B" w:rsidRPr="00DD2D1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(ՄՄ ՏԿ 032/2013) (նոր եզրույթներ ներմուծելու, տեխնիկական կանոնակարգի առանձին դրույթներ հստակեցնելու մասով, տեխնիկական կանոնակարգի կիրառման փորձի արդյունքներով տեխնիկական ուղղումներ կատարելու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III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2706D" w:rsidRPr="007E3CB3" w:rsidTr="00DD2D1F">
        <w:trPr>
          <w:trHeight w:val="1484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7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17.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Սննդամթերքի անվտանգության մասին </w:t>
            </w:r>
            <w:r w:rsidR="001E570B" w:rsidRPr="00DD2D1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021/2011) (շոկոլադին, շոկոլադային արտադրատեսակներին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կակաոյից պատրաստված մթերքին ներկայացվող լրացուցիչ պահանջներ սահմանելու մասով թիվ 3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6E7230" w:rsidP="008A2502">
            <w:pPr>
              <w:pStyle w:val="Bodytext20"/>
              <w:shd w:val="clear" w:color="auto" w:fill="auto"/>
              <w:tabs>
                <w:tab w:val="left" w:pos="53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18.</w:t>
            </w:r>
            <w:r w:rsidR="00280293"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E3CB3">
              <w:rPr>
                <w:rFonts w:ascii="Sylfaen" w:hAnsi="Sylfaen"/>
                <w:sz w:val="24"/>
                <w:szCs w:val="24"/>
              </w:rPr>
              <w:t xml:space="preserve">Ցածրավոլտ սարքավորումների անվտանգության մասին (ՄՄ ՏԿ 004/2011) (տեխնիկական կանոնակարգի կիրառման ոլորտը հստակեցնելու, տեխնիկական </w:t>
            </w: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կանոնակարգում Մաքսային միության՝ ընդունված տեխնիկական կանոնակարգերի դրույթների կրկնվելը բացառելու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19.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Անհատական պաշտպանության միջոցների անվտանգության մասին (ՄՄ ՏԿ 019/2011) (տեխնիկական կանոնակարգի կիրառման ոլորտը հստակեցնելու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տեխնիկական կանոնակարգման առանձին օբյեկտներին ներկայացվող պահանջները հստակեցնելու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37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20.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Ավելցուկային ճնշման տակ աշխատող սարքավորումների անվտանգության մասին</w:t>
            </w:r>
            <w:r w:rsidR="00BD483A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(ՄՄ ՏԿ 032/2013) (տեխնոլոգիական խողովակաշարերի վրա տեխնիկական կանոնակարգի գործողության տարածումը բացառելու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D2706D" w:rsidRPr="007E3CB3" w:rsidTr="00DD2D1F">
        <w:trPr>
          <w:trHeight w:val="2746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21.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Տեխնիկական միջոցների էլեկտրամագնիսական համատեղելիություն (ՄՄ ՏԿ 020/2011) (տեխնիկական կանոնակարգի կիրառման ոլորտը հստակեցնելու, տեխնիկական կանոնակարգում Մաքսային միության՝ ընդունված տեխնիկական կանոնակարգերի դրույթների կրկնվելը բացառելու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</w:tr>
      <w:tr w:rsidR="00D2706D" w:rsidRPr="007E3CB3" w:rsidTr="00DD2D1F">
        <w:trPr>
          <w:trHeight w:val="2110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22.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Սննդամթերքի մակնշման մասին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(ՄՄ ՏԿ 022/2011) (գենային ինժեներիայի եղանակով ձ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ափոխված օրգանիզմների կիրառմամբ սննդամթերքի ստացման կամ սննդամթերքում այդպիսի օրգանիզմների պարունակության մասին տեղեկությունների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trHeight w:val="2888"/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DD2D1F" w:rsidRPr="00607684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23.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Գյուղատնտեսական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անտառատնտեսական տրակտորների ու դրանց կցորդների անվտանգության մասին (ՄՄ ՏԿ 031/2012) (տրակտորների բնապահպանական անվտանգությանը, տրակտորների նույնականացման </w:t>
            </w:r>
            <w:r w:rsidR="003E4449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մակնշմանը ներկայացվող պահանջների, սեղմված բնական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3E4449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հեղուկացված ածխաջրածնային գազ</w:t>
            </w:r>
            <w:r w:rsidR="00BA465E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ով աշխատող տրակտորներին ներկայացվող </w:t>
            </w:r>
            <w:r w:rsidR="003E4449" w:rsidRPr="007E3CB3">
              <w:rPr>
                <w:rStyle w:val="Bodytext21"/>
                <w:rFonts w:ascii="Sylfaen" w:hAnsi="Sylfaen"/>
                <w:sz w:val="24"/>
                <w:szCs w:val="24"/>
              </w:rPr>
              <w:t>պահանջների</w:t>
            </w:r>
            <w:r w:rsidR="00BA465E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մասով</w:t>
            </w:r>
            <w:r w:rsidR="003E4449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, հղումային ստանդարտները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3E4449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ՄԱԿ-ի ԵՏՀ կանոնները թարմացնելու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11</w:t>
            </w:r>
          </w:p>
        </w:tc>
      </w:tr>
      <w:tr w:rsidR="00D2706D" w:rsidRPr="007E3CB3" w:rsidTr="00DD2D1F">
        <w:trPr>
          <w:trHeight w:val="4035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DD2D1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36" w:lineRule="auto"/>
              <w:ind w:right="144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24.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Երկաթուղային շարժակազմի անվտանգության մասին (ՄՄ ՏԿ 001/2011),</w:t>
            </w:r>
            <w:r w:rsidR="006E7230" w:rsidRPr="007E3CB3">
              <w:rPr>
                <w:rFonts w:ascii="Sylfaen" w:hAnsi="Sylfaen"/>
                <w:sz w:val="24"/>
                <w:szCs w:val="24"/>
              </w:rPr>
              <w:t xml:space="preserve"> Արագընթաց երկաթուղային տրանսպորտի անվտանգության մասին </w:t>
            </w:r>
            <w:r w:rsidR="009F5258">
              <w:rPr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Fonts w:ascii="Sylfaen" w:hAnsi="Sylfaen"/>
                <w:sz w:val="24"/>
                <w:szCs w:val="24"/>
              </w:rPr>
              <w:t xml:space="preserve">(ՄՄ ՏԿ 002/2011), Երկաթուղային տրանսպորտի ենթակառուցվածքի անվտանգության մասին </w:t>
            </w:r>
            <w:r w:rsidR="009F5258">
              <w:rPr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Fonts w:ascii="Sylfaen" w:hAnsi="Sylfaen"/>
                <w:sz w:val="24"/>
                <w:szCs w:val="24"/>
              </w:rPr>
              <w:t xml:space="preserve">(ՄՄ ՏԿ 003/2011) («նորարարական արտադրանք» եզրույթի սահմանումը, տեխնիկական կանոնակարգերի կիրառման ոլորտը, առանձին դրույթները հստակեցնելու </w:t>
            </w:r>
            <w:r w:rsidR="009F5258">
              <w:rPr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Fonts w:ascii="Sylfaen" w:hAnsi="Sylfaen"/>
                <w:sz w:val="24"/>
                <w:szCs w:val="24"/>
              </w:rPr>
              <w:t xml:space="preserve"> դրանք «Եվրասիական տնտեսական միության մասին» 2014 թվականի մայիսի 29-ի պայմանագրին համապատասխանեցնելու մասով թիվ 1 փոփոխություննե</w:t>
            </w:r>
            <w:r w:rsidR="003E4449" w:rsidRPr="007E3CB3">
              <w:rPr>
                <w:rFonts w:ascii="Sylfaen" w:hAnsi="Sylfaen"/>
                <w:sz w:val="24"/>
                <w:szCs w:val="24"/>
              </w:rPr>
              <w:t>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15.23</w:t>
            </w:r>
          </w:p>
        </w:tc>
      </w:tr>
      <w:tr w:rsidR="00D2706D" w:rsidRPr="007E3CB3" w:rsidTr="00DD2D1F">
        <w:trPr>
          <w:trHeight w:val="478"/>
          <w:jc w:val="center"/>
        </w:trPr>
        <w:tc>
          <w:tcPr>
            <w:tcW w:w="6150" w:type="dxa"/>
            <w:shd w:val="clear" w:color="auto" w:fill="FFFFFF"/>
            <w:vAlign w:val="center"/>
          </w:tcPr>
          <w:p w:rsidR="008046E4" w:rsidRPr="007E3CB3" w:rsidRDefault="00280293" w:rsidP="00DD2D1F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36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25.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Խաղալիքների անվտանգության մասին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(ՄՄ ՏԿ 008</w:t>
            </w:r>
            <w:r w:rsidR="006E7230" w:rsidRPr="00DD2D1F">
              <w:rPr>
                <w:rStyle w:val="Bodytext21"/>
                <w:rFonts w:ascii="Sylfaen" w:hAnsi="Sylfaen"/>
                <w:sz w:val="24"/>
                <w:szCs w:val="24"/>
              </w:rPr>
              <w:t xml:space="preserve">/2011) (խաղալիքների հոգեբանամանկավարժական անվտանգությանը ներկայացվող պահանջները սահմանելու մասով թիվ 2 </w:t>
            </w:r>
            <w:r w:rsidR="00BA465E" w:rsidRPr="00DD2D1F">
              <w:rPr>
                <w:rStyle w:val="Bodytext21"/>
                <w:rFonts w:ascii="Sylfaen" w:hAnsi="Sylfaen"/>
                <w:sz w:val="24"/>
                <w:szCs w:val="24"/>
              </w:rPr>
              <w:t>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29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CF0A8F" w:rsidRPr="00607684" w:rsidRDefault="00280293" w:rsidP="00CF0A8F">
            <w:pPr>
              <w:pStyle w:val="Bodytext20"/>
              <w:shd w:val="clear" w:color="auto" w:fill="auto"/>
              <w:tabs>
                <w:tab w:val="left" w:pos="562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26.</w:t>
            </w:r>
            <w:r w:rsidR="006926FB" w:rsidRPr="006926FB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Մեքենաների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սարքավորումների անվտանգության մասին (ՄՄ ՏԿ 010/2011)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(փոքր հիդրոէլեկտրակայանների սարքավորումներին ներկայացվող լրացուցիչ պահանջների մասով թիվ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2706D" w:rsidRPr="007E3CB3" w:rsidTr="00DD2D1F">
        <w:trPr>
          <w:trHeight w:val="5169"/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7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27.</w:t>
            </w:r>
            <w:r w:rsidR="00516B04" w:rsidRPr="00516B04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Սննդամթերքի անվտանգության մասին </w:t>
            </w:r>
            <w:r w:rsidR="001E570B" w:rsidRPr="00DD2D1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021/2011) (սննդում կեսաբանական ակտիվ հավելումներին ներկայացվող հատուկ պահանջները բացառելու մասով թիվ 4 փոփոխություն), Սննդամթերքի մակնշման մասին (ՄՄ ՏԿ 022/2011) (սննդում կեսաբանական ակտիվ հավելումներին ներկայացվող հատուկ պահանջները բացառելու մասով թիվ 3 փոփոխություն), Հատուկ նշանակության սննդամթերքի առանձին տեսակների, այդ թվում՝ դիետիկ բուժիչ եւ դիետիկ կանխարգելիչ սննդի համար նախատեսված սննդամթերքի անվտանգության մասին 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(ՄՄ ՏԿ 027/2012) (սննդում կենսաբանական ակտիվ հավելումներին, դրանց արտադրությանը, իրացմանն ու մակնշմանը ներկայացվող հատուկ պահանջները սահմանելու մասով թիվ 1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2016 թվականի IV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trHeight w:val="2069"/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7707C5" w:rsidRPr="00CF0A8F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28.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Ճ</w:t>
            </w:r>
            <w:r w:rsidR="006E7230" w:rsidRPr="00CF0A8F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արպայուղային արտադրանքի տեխնիկական կանոնակարգ (ՄՄ ՏԿ 024/2011) (տեխնիկական կանոնակարգի, այդ թվում՝ բուսայուղերի տրանսպորտային փոխադրմանը վերաբերող առանձին դրույթներ հստակեցնելու մասով թիվ 2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2017 թվականի II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</w:tcPr>
          <w:p w:rsidR="008046E4" w:rsidRPr="007E3CB3" w:rsidRDefault="00280293" w:rsidP="008A2502">
            <w:pPr>
              <w:pStyle w:val="Bodytext20"/>
              <w:shd w:val="clear" w:color="auto" w:fill="auto"/>
              <w:tabs>
                <w:tab w:val="left" w:pos="547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29.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>Անվավոր տրանսպորտային միջոցների անվտանգության մասին (ՄՄ ՏԿ 018/2011) (անդամ պետությունների կողմից տրանսպորտային միջոցների անվտանգությանը ներկայացվող պահանջների համաձայնեցման գծով միջազգային համաձայնագրերում մասնակցության վերաբերյալ պարտավորությունների կատարման հետ կապված թարմացման մասով թիվ 3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2017 թվականի II</w:t>
            </w:r>
            <w:r w:rsidR="008615A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10</w:t>
            </w:r>
          </w:p>
        </w:tc>
      </w:tr>
      <w:tr w:rsidR="00D2706D" w:rsidRPr="007E3CB3" w:rsidTr="00DD2D1F">
        <w:trPr>
          <w:jc w:val="center"/>
        </w:trPr>
        <w:tc>
          <w:tcPr>
            <w:tcW w:w="6150" w:type="dxa"/>
            <w:shd w:val="clear" w:color="auto" w:fill="FFFFFF"/>
            <w:vAlign w:val="bottom"/>
          </w:tcPr>
          <w:p w:rsidR="008046E4" w:rsidRPr="007E3CB3" w:rsidRDefault="00280293" w:rsidP="008A2502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30.</w:t>
            </w:r>
            <w:r w:rsidRPr="00280293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6E7230" w:rsidRPr="00CF0A8F">
              <w:rPr>
                <w:rStyle w:val="Bodytext21"/>
                <w:rFonts w:ascii="Sylfaen" w:hAnsi="Sylfaen"/>
                <w:spacing w:val="6"/>
                <w:sz w:val="24"/>
                <w:szCs w:val="24"/>
              </w:rPr>
              <w:t>Սննդամթերքի անվտանգության մասին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CF0A8F" w:rsidRPr="00CF0A8F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(ՄՄ ՏԿ 021/2011) («Եվրասիական տնտեսական միության մասին» 2014 թվականի մայիսի 29-ի պայմանագրին համապատասխանեցնելու </w:t>
            </w:r>
            <w:r w:rsidR="009F5258">
              <w:rPr>
                <w:rStyle w:val="Bodytext21"/>
                <w:rFonts w:ascii="Sylfaen" w:hAnsi="Sylfaen"/>
                <w:sz w:val="24"/>
                <w:szCs w:val="24"/>
              </w:rPr>
              <w:t>եւ</w:t>
            </w:r>
            <w:r w:rsidR="006E7230" w:rsidRPr="007E3CB3">
              <w:rPr>
                <w:rStyle w:val="Bodytext21"/>
                <w:rFonts w:ascii="Sylfaen" w:hAnsi="Sylfaen"/>
                <w:sz w:val="24"/>
                <w:szCs w:val="24"/>
              </w:rPr>
              <w:t xml:space="preserve"> սննդամթերքի ու պարենային (սննդային) հումքի լցնովի եղանակով տրանսպորտային փոխադրման միջոցներին ներկայացվող պահանջներ սահմանելու մասով թիվ 5 փոփոխություններ)</w:t>
            </w:r>
          </w:p>
        </w:tc>
        <w:tc>
          <w:tcPr>
            <w:tcW w:w="2255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129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1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2017 թվականի II</w:t>
            </w:r>
            <w:r w:rsidR="008615A0" w:rsidRPr="006926FB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եռամսյակ</w:t>
            </w:r>
          </w:p>
        </w:tc>
        <w:tc>
          <w:tcPr>
            <w:tcW w:w="1713" w:type="dxa"/>
            <w:shd w:val="clear" w:color="auto" w:fill="FFFFFF"/>
          </w:tcPr>
          <w:p w:rsidR="008046E4" w:rsidRPr="007E3CB3" w:rsidRDefault="006E7230" w:rsidP="008A2502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3CB3">
              <w:rPr>
                <w:rStyle w:val="Bodytext21"/>
                <w:rFonts w:ascii="Sylfaen" w:hAnsi="Sylfaen"/>
                <w:sz w:val="24"/>
                <w:szCs w:val="24"/>
              </w:rPr>
              <w:t>53</w:t>
            </w:r>
          </w:p>
        </w:tc>
      </w:tr>
    </w:tbl>
    <w:p w:rsidR="008046E4" w:rsidRPr="001E570B" w:rsidRDefault="008046E4" w:rsidP="00DD2D1F">
      <w:pPr>
        <w:pStyle w:val="Tablecaption0"/>
        <w:shd w:val="clear" w:color="auto" w:fill="auto"/>
        <w:spacing w:after="160" w:line="360" w:lineRule="auto"/>
        <w:ind w:right="460" w:firstLine="0"/>
        <w:rPr>
          <w:rFonts w:ascii="Sylfaen" w:hAnsi="Sylfaen"/>
          <w:lang w:val="en-US"/>
        </w:rPr>
      </w:pPr>
    </w:p>
    <w:sectPr w:rsidR="008046E4" w:rsidRPr="001E570B" w:rsidSect="009F5258">
      <w:pgSz w:w="16840" w:h="11907" w:orient="landscape" w:code="9"/>
      <w:pgMar w:top="1418" w:right="1418" w:bottom="1418" w:left="1418" w:header="0" w:footer="3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D5" w:rsidRDefault="006232D5" w:rsidP="008046E4">
      <w:r>
        <w:separator/>
      </w:r>
    </w:p>
  </w:endnote>
  <w:endnote w:type="continuationSeparator" w:id="0">
    <w:p w:rsidR="006232D5" w:rsidRDefault="006232D5" w:rsidP="0080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1585"/>
      <w:docPartObj>
        <w:docPartGallery w:val="Page Numbers (Bottom of Page)"/>
        <w:docPartUnique/>
      </w:docPartObj>
    </w:sdtPr>
    <w:sdtEndPr/>
    <w:sdtContent>
      <w:p w:rsidR="00326AD8" w:rsidRDefault="00FA1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5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07C5" w:rsidRDefault="007707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1586"/>
      <w:docPartObj>
        <w:docPartGallery w:val="Page Numbers (Bottom of Page)"/>
        <w:docPartUnique/>
      </w:docPartObj>
    </w:sdtPr>
    <w:sdtEndPr/>
    <w:sdtContent>
      <w:p w:rsidR="009F5258" w:rsidRPr="009F5258" w:rsidRDefault="00FA1B92" w:rsidP="009F52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D5" w:rsidRDefault="006232D5">
      <w:r>
        <w:separator/>
      </w:r>
    </w:p>
  </w:footnote>
  <w:footnote w:type="continuationSeparator" w:id="0">
    <w:p w:rsidR="006232D5" w:rsidRDefault="006232D5">
      <w:r>
        <w:continuationSeparator/>
      </w:r>
    </w:p>
  </w:footnote>
  <w:footnote w:id="1">
    <w:p w:rsidR="00835E4B" w:rsidRPr="00784838" w:rsidRDefault="00835E4B">
      <w:pPr>
        <w:pStyle w:val="FootnoteText"/>
        <w:rPr>
          <w:rFonts w:ascii="GHEA Grapalat" w:hAnsi="GHEA Grapalat"/>
        </w:rPr>
      </w:pPr>
      <w:r w:rsidRPr="00784838">
        <w:rPr>
          <w:rStyle w:val="FootnoteReference"/>
          <w:rFonts w:ascii="GHEA Grapalat" w:hAnsi="GHEA Grapalat"/>
        </w:rPr>
        <w:footnoteRef/>
      </w:r>
      <w:r w:rsidRPr="00784838">
        <w:rPr>
          <w:rFonts w:ascii="GHEA Grapalat" w:hAnsi="GHEA Grapalat"/>
        </w:rPr>
        <w:t xml:space="preserve"> Սույն պլանի I բաժնով նախատեսված՝ Եվրասիական տնտեսական միության տեխնիկական կանոնակարգերի անվանումները, ինչպես նաև սույն պլանի II բաժնով նախատեսված փոփոխությունների առարկան կարող են փոփոխվել դրանց մշակման ընթացքում:</w:t>
      </w:r>
    </w:p>
  </w:footnote>
  <w:footnote w:id="2">
    <w:p w:rsidR="00835E4B" w:rsidRPr="00784838" w:rsidRDefault="00835E4B">
      <w:pPr>
        <w:pStyle w:val="FootnoteText"/>
        <w:rPr>
          <w:rFonts w:ascii="GHEA Grapalat" w:hAnsi="GHEA Grapalat"/>
        </w:rPr>
      </w:pPr>
      <w:r w:rsidRPr="00784838">
        <w:rPr>
          <w:rStyle w:val="FootnoteReference"/>
          <w:rFonts w:ascii="GHEA Grapalat" w:hAnsi="GHEA Grapalat"/>
        </w:rPr>
        <w:footnoteRef/>
      </w:r>
      <w:r w:rsidRPr="00784838">
        <w:rPr>
          <w:rFonts w:ascii="GHEA Grapalat" w:hAnsi="GHEA Grapalat"/>
        </w:rPr>
        <w:t xml:space="preserve"> Եվրասիական տնտեսական միության տեխնիկական կանոնակարգի նախագծի ներպետական համաձայնեցման արդյունքների հիման վրա անդամ պետությունների կողմից ընդունված որոշումները Եվրասիական տնտեսական հանձնաժողով ներկայացնելը՝ Եվրասիական տնտեսական հանձնաժողովի խորհրդի 2012 թվականի հունիսի 20-ի թիվ 48 որոշմամբ հաստատված՝ «Մաքսային միության տեխնիկական կանոնակարգը մշակելու, ընդունելու, փոփոխելու և չեղարկելու կարգի մասին» հիմնադրույթի 15-րդ կետին համապատասխան: </w:t>
      </w:r>
    </w:p>
  </w:footnote>
  <w:footnote w:id="3">
    <w:p w:rsidR="00835E4B" w:rsidRPr="00784838" w:rsidRDefault="00835E4B">
      <w:pPr>
        <w:pStyle w:val="FootnoteText"/>
        <w:rPr>
          <w:rFonts w:ascii="GHEA Grapalat" w:hAnsi="GHEA Grapalat"/>
        </w:rPr>
      </w:pPr>
      <w:r w:rsidRPr="00784838">
        <w:rPr>
          <w:rStyle w:val="FootnoteReference"/>
          <w:rFonts w:ascii="GHEA Grapalat" w:hAnsi="GHEA Grapalat"/>
        </w:rPr>
        <w:footnoteRef/>
      </w:r>
      <w:r w:rsidRPr="00784838">
        <w:rPr>
          <w:rFonts w:ascii="GHEA Grapalat" w:hAnsi="GHEA Grapalat"/>
        </w:rPr>
        <w:t xml:space="preserve"> Մաքսային միության հանձնաժողովի 2011 թվականի հունվարի 28-ի թիվ 526 որոշմամբ հաստատված՝ այն </w:t>
      </w:r>
      <w:r w:rsidR="00536EF3">
        <w:rPr>
          <w:rFonts w:ascii="GHEA Grapalat" w:hAnsi="GHEA Grapalat"/>
        </w:rPr>
        <w:t>ա</w:t>
      </w:r>
      <w:r w:rsidRPr="00784838">
        <w:rPr>
          <w:rFonts w:ascii="GHEA Grapalat" w:hAnsi="GHEA Grapalat"/>
        </w:rPr>
        <w:t xml:space="preserve">րտադրանքի միասնական ցանկը, որի </w:t>
      </w:r>
      <w:r w:rsidR="00BA465E" w:rsidRPr="00CF0A8F">
        <w:rPr>
          <w:rFonts w:ascii="GHEA Grapalat" w:hAnsi="GHEA Grapalat"/>
        </w:rPr>
        <w:t>նկատմամբ</w:t>
      </w:r>
      <w:r w:rsidRPr="00784838">
        <w:rPr>
          <w:rFonts w:ascii="GHEA Grapalat" w:hAnsi="GHEA Grapalat"/>
        </w:rPr>
        <w:t xml:space="preserve"> Մաքսային միության շրջանակներում սահմանվում են պարտադիր պահանջներ։</w:t>
      </w:r>
    </w:p>
  </w:footnote>
  <w:footnote w:id="4">
    <w:p w:rsidR="00835E4B" w:rsidRPr="00784838" w:rsidRDefault="00835E4B">
      <w:pPr>
        <w:pStyle w:val="FootnoteText"/>
        <w:rPr>
          <w:rFonts w:ascii="GHEA Grapalat" w:hAnsi="GHEA Grapalat"/>
        </w:rPr>
      </w:pPr>
      <w:r w:rsidRPr="00784838">
        <w:rPr>
          <w:rStyle w:val="FootnoteReference"/>
          <w:rFonts w:ascii="GHEA Grapalat" w:hAnsi="GHEA Grapalat"/>
        </w:rPr>
        <w:footnoteRef/>
      </w:r>
      <w:r w:rsidRPr="00784838">
        <w:rPr>
          <w:rFonts w:ascii="GHEA Grapalat" w:hAnsi="GHEA Grapalat"/>
        </w:rPr>
        <w:t xml:space="preserve"> Եվրասիական տնտեսական հանձնաժողովի տեխնիկական կանոնակարգի նախագծի ներպետական համաձայնեցման արդյունքների հիման վրա անդամ պետությունների կողմից ընդունված որոշումները ներկայացվել են Եվրասիական տնտեսական հանձնաժողով՝ Եվրասիական տնտեսական հանձնաժողովի խորհրդի 2012 թվականի հունիսի 20-ի թիվ 48 որոշմամբ հաստատված՝ «Մաքսային միության տեխնիկական կանոնակարգը մշակելու, ընդունելու, փոփոխելու և չեղարկելու կարգի մասին» հիմնադրույթի 15-րդ կետին համապատասխան:»: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E4"/>
    <w:rsid w:val="000100E6"/>
    <w:rsid w:val="00145FD5"/>
    <w:rsid w:val="001E570B"/>
    <w:rsid w:val="00250D71"/>
    <w:rsid w:val="00275AC7"/>
    <w:rsid w:val="00280293"/>
    <w:rsid w:val="002A0FC0"/>
    <w:rsid w:val="002A38A9"/>
    <w:rsid w:val="002A506E"/>
    <w:rsid w:val="00326AD8"/>
    <w:rsid w:val="00361209"/>
    <w:rsid w:val="0038684D"/>
    <w:rsid w:val="003951A8"/>
    <w:rsid w:val="003E4449"/>
    <w:rsid w:val="004058DC"/>
    <w:rsid w:val="00461342"/>
    <w:rsid w:val="00476B3F"/>
    <w:rsid w:val="004E37AE"/>
    <w:rsid w:val="004E4EC4"/>
    <w:rsid w:val="004F2194"/>
    <w:rsid w:val="004F72C9"/>
    <w:rsid w:val="00516B04"/>
    <w:rsid w:val="00536EF3"/>
    <w:rsid w:val="005B75D1"/>
    <w:rsid w:val="00607684"/>
    <w:rsid w:val="006232D5"/>
    <w:rsid w:val="00630BA4"/>
    <w:rsid w:val="00680081"/>
    <w:rsid w:val="006919A1"/>
    <w:rsid w:val="006926FB"/>
    <w:rsid w:val="006B40A4"/>
    <w:rsid w:val="006B46F8"/>
    <w:rsid w:val="006B4BF0"/>
    <w:rsid w:val="006B7B9E"/>
    <w:rsid w:val="006E7230"/>
    <w:rsid w:val="007077F6"/>
    <w:rsid w:val="00741A93"/>
    <w:rsid w:val="007707C5"/>
    <w:rsid w:val="00784838"/>
    <w:rsid w:val="00787152"/>
    <w:rsid w:val="007905A9"/>
    <w:rsid w:val="007B2E31"/>
    <w:rsid w:val="007B5C33"/>
    <w:rsid w:val="007E3CB3"/>
    <w:rsid w:val="007F44DE"/>
    <w:rsid w:val="008046E4"/>
    <w:rsid w:val="00826D7F"/>
    <w:rsid w:val="00835E4B"/>
    <w:rsid w:val="008510AF"/>
    <w:rsid w:val="008572F9"/>
    <w:rsid w:val="008615A0"/>
    <w:rsid w:val="008651E1"/>
    <w:rsid w:val="00876ED8"/>
    <w:rsid w:val="008A2502"/>
    <w:rsid w:val="008D5763"/>
    <w:rsid w:val="0091681B"/>
    <w:rsid w:val="00957F81"/>
    <w:rsid w:val="009734C4"/>
    <w:rsid w:val="009F5258"/>
    <w:rsid w:val="00A60D3C"/>
    <w:rsid w:val="00A73A4F"/>
    <w:rsid w:val="00A75569"/>
    <w:rsid w:val="00AA0500"/>
    <w:rsid w:val="00B3503E"/>
    <w:rsid w:val="00B36CC1"/>
    <w:rsid w:val="00BA465E"/>
    <w:rsid w:val="00BD483A"/>
    <w:rsid w:val="00CA24F7"/>
    <w:rsid w:val="00CF0A8F"/>
    <w:rsid w:val="00D2706D"/>
    <w:rsid w:val="00DA0FE5"/>
    <w:rsid w:val="00DD2D1F"/>
    <w:rsid w:val="00EF44F4"/>
    <w:rsid w:val="00F32CDE"/>
    <w:rsid w:val="00F5467A"/>
    <w:rsid w:val="00F56E57"/>
    <w:rsid w:val="00F73928"/>
    <w:rsid w:val="00FA1B92"/>
    <w:rsid w:val="00FB586F"/>
    <w:rsid w:val="00FC32FB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6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46E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"/>
    <w:basedOn w:val="Bodytext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2">
    <w:name w:val="Footnote (2)_"/>
    <w:basedOn w:val="DefaultParagraphFont"/>
    <w:link w:val="Footnote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8046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046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04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046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8046E4"/>
    <w:pPr>
      <w:shd w:val="clear" w:color="auto" w:fill="FFFFFF"/>
      <w:spacing w:line="51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046E4"/>
    <w:pPr>
      <w:shd w:val="clear" w:color="auto" w:fill="FFFFFF"/>
      <w:spacing w:before="3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46E4"/>
    <w:pPr>
      <w:shd w:val="clear" w:color="auto" w:fill="FFFFFF"/>
      <w:spacing w:line="277" w:lineRule="exact"/>
      <w:ind w:firstLine="260"/>
    </w:pPr>
    <w:rPr>
      <w:rFonts w:ascii="Times New Roman" w:eastAsia="Times New Roman" w:hAnsi="Times New Roman" w:cs="Times New Roman"/>
    </w:rPr>
  </w:style>
  <w:style w:type="paragraph" w:customStyle="1" w:styleId="Footnote20">
    <w:name w:val="Footnote (2)"/>
    <w:basedOn w:val="Normal"/>
    <w:link w:val="Footnote2"/>
    <w:rsid w:val="008046E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8046E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Bodytext214pt">
    <w:name w:val="Body text (2) + 14 pt"/>
    <w:aliases w:val="Bold,Spacing 2 pt,Body text (2) + 13 pt"/>
    <w:basedOn w:val="Bodytext2"/>
    <w:rsid w:val="006E7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E4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E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3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7C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07C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C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46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46E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"/>
    <w:basedOn w:val="Bodytext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804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2">
    <w:name w:val="Footnote (2)_"/>
    <w:basedOn w:val="DefaultParagraphFont"/>
    <w:link w:val="Footnote2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04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8046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046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04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046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8046E4"/>
    <w:pPr>
      <w:shd w:val="clear" w:color="auto" w:fill="FFFFFF"/>
      <w:spacing w:line="51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046E4"/>
    <w:pPr>
      <w:shd w:val="clear" w:color="auto" w:fill="FFFFFF"/>
      <w:spacing w:before="3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46E4"/>
    <w:pPr>
      <w:shd w:val="clear" w:color="auto" w:fill="FFFFFF"/>
      <w:spacing w:line="277" w:lineRule="exact"/>
      <w:ind w:firstLine="260"/>
    </w:pPr>
    <w:rPr>
      <w:rFonts w:ascii="Times New Roman" w:eastAsia="Times New Roman" w:hAnsi="Times New Roman" w:cs="Times New Roman"/>
    </w:rPr>
  </w:style>
  <w:style w:type="paragraph" w:customStyle="1" w:styleId="Footnote20">
    <w:name w:val="Footnote (2)"/>
    <w:basedOn w:val="Normal"/>
    <w:link w:val="Footnote2"/>
    <w:rsid w:val="008046E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8046E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Bodytext214pt">
    <w:name w:val="Body text (2) + 14 pt"/>
    <w:aliases w:val="Bold,Spacing 2 pt,Body text (2) + 13 pt"/>
    <w:basedOn w:val="Bodytext2"/>
    <w:rsid w:val="006E7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E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E4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E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3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7C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07C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C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7C4-7535-43F3-A963-7CB75B02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Vahagn Karamyan</cp:lastModifiedBy>
  <cp:revision>2</cp:revision>
  <dcterms:created xsi:type="dcterms:W3CDTF">2017-11-06T07:34:00Z</dcterms:created>
  <dcterms:modified xsi:type="dcterms:W3CDTF">2017-11-06T07:34:00Z</dcterms:modified>
</cp:coreProperties>
</file>