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A0" w:rsidRPr="00E64288" w:rsidRDefault="00EC2A2C" w:rsidP="00761F77">
      <w:pPr>
        <w:pStyle w:val="Bodytext20"/>
        <w:shd w:val="clear" w:color="auto" w:fill="auto"/>
        <w:spacing w:before="0" w:after="160" w:line="360" w:lineRule="auto"/>
        <w:ind w:left="10206" w:right="-1"/>
        <w:jc w:val="center"/>
        <w:rPr>
          <w:rFonts w:ascii="Sylfaen" w:hAnsi="Sylfaen"/>
          <w:sz w:val="24"/>
          <w:szCs w:val="24"/>
        </w:rPr>
      </w:pPr>
      <w:r w:rsidRPr="00E64288">
        <w:rPr>
          <w:rFonts w:ascii="Sylfaen" w:hAnsi="Sylfaen"/>
          <w:sz w:val="24"/>
          <w:szCs w:val="24"/>
        </w:rPr>
        <w:t>ՀԱՍՏԱՏՎԱԾ Է</w:t>
      </w:r>
    </w:p>
    <w:p w:rsidR="00CE30A0" w:rsidRPr="00E64288" w:rsidRDefault="00EC2A2C" w:rsidP="00761F77">
      <w:pPr>
        <w:pStyle w:val="Bodytext20"/>
        <w:shd w:val="clear" w:color="auto" w:fill="auto"/>
        <w:spacing w:before="0" w:after="160" w:line="360" w:lineRule="auto"/>
        <w:ind w:left="10206" w:right="-1"/>
        <w:jc w:val="center"/>
        <w:rPr>
          <w:rFonts w:ascii="Sylfaen" w:hAnsi="Sylfaen"/>
          <w:sz w:val="24"/>
          <w:szCs w:val="24"/>
        </w:rPr>
      </w:pPr>
      <w:r w:rsidRPr="00E64288">
        <w:rPr>
          <w:rFonts w:ascii="Sylfaen" w:hAnsi="Sylfaen"/>
          <w:sz w:val="24"/>
          <w:szCs w:val="24"/>
        </w:rPr>
        <w:t xml:space="preserve">Եվրասիական տնտեսական հանձնաժողովի խորհրդի </w:t>
      </w:r>
      <w:bookmarkStart w:id="0" w:name="_GoBack"/>
      <w:bookmarkEnd w:id="0"/>
      <w:r w:rsidRPr="00E64288">
        <w:rPr>
          <w:rFonts w:ascii="Sylfaen" w:hAnsi="Sylfaen"/>
          <w:sz w:val="24"/>
          <w:szCs w:val="24"/>
        </w:rPr>
        <w:t>2016</w:t>
      </w:r>
      <w:r w:rsidR="008F260D" w:rsidRPr="008F260D">
        <w:rPr>
          <w:rFonts w:ascii="Sylfaen" w:hAnsi="Sylfaen"/>
          <w:sz w:val="24"/>
          <w:szCs w:val="24"/>
        </w:rPr>
        <w:t> </w:t>
      </w:r>
      <w:r w:rsidRPr="00E64288">
        <w:rPr>
          <w:rFonts w:ascii="Sylfaen" w:hAnsi="Sylfaen"/>
          <w:sz w:val="24"/>
          <w:szCs w:val="24"/>
        </w:rPr>
        <w:t xml:space="preserve">թվականի հուլիսի 11-ի </w:t>
      </w:r>
      <w:r w:rsidR="004620AB" w:rsidRPr="004620AB">
        <w:rPr>
          <w:rFonts w:ascii="Sylfaen" w:hAnsi="Sylfaen"/>
          <w:sz w:val="24"/>
          <w:szCs w:val="24"/>
        </w:rPr>
        <w:br/>
      </w:r>
      <w:r w:rsidRPr="00E64288">
        <w:rPr>
          <w:rFonts w:ascii="Sylfaen" w:hAnsi="Sylfaen"/>
          <w:sz w:val="24"/>
          <w:szCs w:val="24"/>
        </w:rPr>
        <w:t>թիվ 65 որոշմամբ</w:t>
      </w:r>
    </w:p>
    <w:p w:rsidR="00CE30A0" w:rsidRPr="00E64288" w:rsidRDefault="00CE30A0" w:rsidP="00761F77">
      <w:pPr>
        <w:pStyle w:val="Bodytext20"/>
        <w:shd w:val="clear" w:color="auto" w:fill="auto"/>
        <w:spacing w:before="0" w:after="160" w:line="360" w:lineRule="auto"/>
        <w:ind w:left="10206" w:right="-1"/>
        <w:jc w:val="center"/>
        <w:rPr>
          <w:rFonts w:ascii="Sylfaen" w:hAnsi="Sylfaen"/>
          <w:sz w:val="24"/>
          <w:szCs w:val="24"/>
        </w:rPr>
      </w:pPr>
    </w:p>
    <w:p w:rsidR="00CE30A0" w:rsidRPr="00E64288" w:rsidRDefault="00EC2A2C" w:rsidP="008F260D">
      <w:pPr>
        <w:pStyle w:val="Bodytext30"/>
        <w:shd w:val="clear" w:color="auto" w:fill="auto"/>
        <w:spacing w:before="0" w:after="160" w:line="360" w:lineRule="auto"/>
        <w:ind w:left="1134" w:right="963"/>
        <w:rPr>
          <w:rStyle w:val="Bodytext3Spacing2pt"/>
          <w:rFonts w:ascii="Sylfaen" w:hAnsi="Sylfaen"/>
          <w:b/>
          <w:bCs/>
          <w:spacing w:val="0"/>
          <w:sz w:val="24"/>
          <w:szCs w:val="24"/>
        </w:rPr>
      </w:pPr>
      <w:r w:rsidRPr="00E64288">
        <w:rPr>
          <w:rFonts w:ascii="Sylfaen" w:hAnsi="Sylfaen"/>
          <w:sz w:val="24"/>
          <w:szCs w:val="24"/>
        </w:rPr>
        <w:t>2016 ԹՎԱԿԱՆԻ ՄԱՆՐԱՄԱՍՆԵՑՎԱԾ ՊԼԱՆ</w:t>
      </w:r>
    </w:p>
    <w:p w:rsidR="005E58D7" w:rsidRPr="00E64288" w:rsidRDefault="00EC2A2C" w:rsidP="008F260D">
      <w:pPr>
        <w:pStyle w:val="Bodytext30"/>
        <w:shd w:val="clear" w:color="auto" w:fill="auto"/>
        <w:spacing w:before="0" w:after="160" w:line="360" w:lineRule="auto"/>
        <w:ind w:left="1134" w:right="963"/>
        <w:rPr>
          <w:rFonts w:ascii="Sylfaen" w:hAnsi="Sylfaen"/>
          <w:sz w:val="24"/>
          <w:szCs w:val="24"/>
        </w:rPr>
      </w:pPr>
      <w:r w:rsidRPr="00E64288">
        <w:rPr>
          <w:rFonts w:ascii="Sylfaen" w:hAnsi="Sylfaen"/>
          <w:sz w:val="24"/>
          <w:szCs w:val="24"/>
        </w:rPr>
        <w:t>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 կատարման</w:t>
      </w:r>
    </w:p>
    <w:tbl>
      <w:tblPr>
        <w:tblOverlap w:val="never"/>
        <w:tblW w:w="16051" w:type="dxa"/>
        <w:jc w:val="center"/>
        <w:tblLayout w:type="fixed"/>
        <w:tblCellMar>
          <w:left w:w="10" w:type="dxa"/>
          <w:right w:w="10" w:type="dxa"/>
        </w:tblCellMar>
        <w:tblLook w:val="0000" w:firstRow="0" w:lastRow="0" w:firstColumn="0" w:lastColumn="0" w:noHBand="0" w:noVBand="0"/>
      </w:tblPr>
      <w:tblGrid>
        <w:gridCol w:w="5427"/>
        <w:gridCol w:w="2405"/>
        <w:gridCol w:w="1843"/>
        <w:gridCol w:w="3115"/>
        <w:gridCol w:w="3261"/>
      </w:tblGrid>
      <w:tr w:rsidR="008B4F9A" w:rsidRPr="00E64288" w:rsidTr="008B4F9A">
        <w:trPr>
          <w:trHeight w:val="1573"/>
          <w:tblHeader/>
          <w:jc w:val="center"/>
        </w:trPr>
        <w:tc>
          <w:tcPr>
            <w:tcW w:w="5427" w:type="dxa"/>
            <w:tcBorders>
              <w:top w:val="single" w:sz="4" w:space="0" w:color="auto"/>
              <w:left w:val="single" w:sz="4" w:space="0" w:color="auto"/>
              <w:bottom w:val="single" w:sz="4" w:space="0" w:color="auto"/>
            </w:tcBorders>
            <w:shd w:val="clear" w:color="auto" w:fill="FFFFFF"/>
            <w:vAlign w:val="center"/>
          </w:tcPr>
          <w:p w:rsidR="005E58D7" w:rsidRPr="008A6B28" w:rsidRDefault="007D204F" w:rsidP="005E74D1">
            <w:pPr>
              <w:pStyle w:val="Bodytext20"/>
              <w:shd w:val="clear" w:color="auto" w:fill="auto"/>
              <w:tabs>
                <w:tab w:val="left" w:pos="851"/>
              </w:tabs>
              <w:spacing w:before="0" w:after="120" w:line="240" w:lineRule="auto"/>
              <w:ind w:left="113" w:right="113"/>
              <w:jc w:val="center"/>
              <w:rPr>
                <w:rFonts w:ascii="Sylfaen" w:hAnsi="Sylfaen"/>
                <w:sz w:val="24"/>
                <w:szCs w:val="24"/>
              </w:rPr>
            </w:pPr>
            <w:r w:rsidRPr="008A6B28">
              <w:rPr>
                <w:rStyle w:val="Bodytext21"/>
                <w:rFonts w:ascii="Sylfaen" w:hAnsi="Sylfaen"/>
                <w:sz w:val="24"/>
                <w:szCs w:val="24"/>
              </w:rPr>
              <w:t>Միջոցառման անվանումը</w:t>
            </w:r>
          </w:p>
        </w:tc>
        <w:tc>
          <w:tcPr>
            <w:tcW w:w="2405" w:type="dxa"/>
            <w:tcBorders>
              <w:top w:val="single" w:sz="4" w:space="0" w:color="auto"/>
              <w:left w:val="single" w:sz="4" w:space="0" w:color="auto"/>
              <w:bottom w:val="single" w:sz="4" w:space="0" w:color="auto"/>
            </w:tcBorders>
            <w:shd w:val="clear" w:color="auto" w:fill="FFFFFF"/>
            <w:vAlign w:val="center"/>
          </w:tcPr>
          <w:p w:rsidR="005E58D7" w:rsidRPr="008A6B28" w:rsidRDefault="007D204F" w:rsidP="00E440E5">
            <w:pPr>
              <w:pStyle w:val="Bodytext20"/>
              <w:shd w:val="clear" w:color="auto" w:fill="auto"/>
              <w:spacing w:before="0" w:after="120" w:line="240" w:lineRule="auto"/>
              <w:ind w:left="113" w:right="113"/>
              <w:jc w:val="center"/>
              <w:rPr>
                <w:rFonts w:ascii="Sylfaen" w:hAnsi="Sylfaen"/>
                <w:sz w:val="24"/>
                <w:szCs w:val="24"/>
              </w:rPr>
            </w:pPr>
            <w:r w:rsidRPr="008A6B28">
              <w:rPr>
                <w:rFonts w:ascii="Sylfaen" w:hAnsi="Sylfaen"/>
                <w:sz w:val="24"/>
                <w:szCs w:val="24"/>
              </w:rPr>
              <w:t>Միջոցառումների ցանկի համապատասխան կետը</w:t>
            </w:r>
          </w:p>
        </w:tc>
        <w:tc>
          <w:tcPr>
            <w:tcW w:w="1843" w:type="dxa"/>
            <w:tcBorders>
              <w:top w:val="single" w:sz="4" w:space="0" w:color="auto"/>
              <w:left w:val="single" w:sz="4" w:space="0" w:color="auto"/>
              <w:bottom w:val="single" w:sz="4" w:space="0" w:color="auto"/>
            </w:tcBorders>
            <w:shd w:val="clear" w:color="auto" w:fill="FFFFFF"/>
            <w:vAlign w:val="center"/>
          </w:tcPr>
          <w:p w:rsidR="005E58D7" w:rsidRPr="008A6B28" w:rsidRDefault="008A6B28" w:rsidP="00E440E5">
            <w:pPr>
              <w:pStyle w:val="Bodytext20"/>
              <w:shd w:val="clear" w:color="auto" w:fill="auto"/>
              <w:spacing w:before="0" w:after="120" w:line="240" w:lineRule="auto"/>
              <w:ind w:left="113" w:right="113"/>
              <w:jc w:val="center"/>
              <w:rPr>
                <w:rFonts w:ascii="Sylfaen" w:hAnsi="Sylfaen"/>
                <w:sz w:val="24"/>
                <w:szCs w:val="24"/>
              </w:rPr>
            </w:pPr>
            <w:r w:rsidRPr="008A6B28">
              <w:rPr>
                <w:rFonts w:ascii="Sylfaen" w:hAnsi="Sylfaen"/>
                <w:sz w:val="24"/>
                <w:szCs w:val="24"/>
              </w:rPr>
              <w:t>Կատարման ժամկետը</w:t>
            </w:r>
          </w:p>
        </w:tc>
        <w:tc>
          <w:tcPr>
            <w:tcW w:w="3115" w:type="dxa"/>
            <w:tcBorders>
              <w:top w:val="single" w:sz="4" w:space="0" w:color="auto"/>
              <w:left w:val="single" w:sz="4" w:space="0" w:color="auto"/>
              <w:bottom w:val="single" w:sz="4" w:space="0" w:color="auto"/>
            </w:tcBorders>
            <w:shd w:val="clear" w:color="auto" w:fill="FFFFFF"/>
            <w:vAlign w:val="center"/>
          </w:tcPr>
          <w:p w:rsidR="005E58D7" w:rsidRPr="008A6B28" w:rsidRDefault="008A6B28" w:rsidP="008A6B28">
            <w:pPr>
              <w:pStyle w:val="Bodytext20"/>
              <w:shd w:val="clear" w:color="auto" w:fill="auto"/>
              <w:spacing w:before="0" w:after="120" w:line="240" w:lineRule="auto"/>
              <w:ind w:left="113" w:right="113"/>
              <w:jc w:val="center"/>
              <w:rPr>
                <w:rFonts w:ascii="Sylfaen" w:hAnsi="Sylfaen"/>
                <w:sz w:val="24"/>
                <w:szCs w:val="24"/>
              </w:rPr>
            </w:pPr>
            <w:r w:rsidRPr="008A6B28">
              <w:rPr>
                <w:rFonts w:ascii="Sylfaen" w:hAnsi="Sylfaen"/>
                <w:sz w:val="24"/>
                <w:szCs w:val="24"/>
              </w:rPr>
              <w:t>Պատասխանատու կատարողը</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5E58D7" w:rsidRPr="008A6B28" w:rsidRDefault="008A6B28" w:rsidP="00E440E5">
            <w:pPr>
              <w:pStyle w:val="Bodytext20"/>
              <w:shd w:val="clear" w:color="auto" w:fill="auto"/>
              <w:spacing w:before="0" w:after="120" w:line="240" w:lineRule="auto"/>
              <w:ind w:left="113" w:right="113"/>
              <w:jc w:val="center"/>
              <w:rPr>
                <w:rFonts w:ascii="Sylfaen" w:hAnsi="Sylfaen"/>
                <w:sz w:val="24"/>
                <w:szCs w:val="24"/>
              </w:rPr>
            </w:pPr>
            <w:r w:rsidRPr="008A6B28">
              <w:rPr>
                <w:rStyle w:val="Bodytext21"/>
                <w:rFonts w:ascii="Sylfaen" w:hAnsi="Sylfaen"/>
                <w:sz w:val="24"/>
                <w:szCs w:val="24"/>
              </w:rPr>
              <w:t>Պլանավորվող արդյունքը</w:t>
            </w:r>
          </w:p>
        </w:tc>
      </w:tr>
      <w:tr w:rsidR="008B4F9A" w:rsidRPr="00E64288" w:rsidTr="008B4F9A">
        <w:trPr>
          <w:tblHeader/>
          <w:jc w:val="center"/>
        </w:trPr>
        <w:tc>
          <w:tcPr>
            <w:tcW w:w="5427" w:type="dxa"/>
            <w:tcBorders>
              <w:top w:val="single" w:sz="4" w:space="0" w:color="auto"/>
              <w:left w:val="single" w:sz="4" w:space="0" w:color="auto"/>
              <w:bottom w:val="single" w:sz="4" w:space="0" w:color="auto"/>
            </w:tcBorders>
            <w:shd w:val="clear" w:color="auto" w:fill="FFFFFF"/>
          </w:tcPr>
          <w:p w:rsidR="00F5208D" w:rsidRPr="008A6B28" w:rsidRDefault="007D204F" w:rsidP="005E74D1">
            <w:pPr>
              <w:pStyle w:val="Bodytext20"/>
              <w:shd w:val="clear" w:color="auto" w:fill="auto"/>
              <w:tabs>
                <w:tab w:val="left" w:pos="851"/>
              </w:tabs>
              <w:spacing w:before="0" w:after="120" w:line="240" w:lineRule="auto"/>
              <w:ind w:left="113" w:right="113"/>
              <w:jc w:val="center"/>
              <w:rPr>
                <w:rStyle w:val="Bodytext23"/>
                <w:rFonts w:ascii="Sylfaen" w:hAnsi="Sylfaen"/>
                <w:sz w:val="24"/>
                <w:szCs w:val="24"/>
              </w:rPr>
            </w:pPr>
            <w:r w:rsidRPr="008A6B28">
              <w:rPr>
                <w:rStyle w:val="Bodytext23"/>
                <w:rFonts w:ascii="Sylfaen" w:hAnsi="Sylfaen"/>
                <w:sz w:val="24"/>
                <w:szCs w:val="24"/>
              </w:rPr>
              <w:t>1</w:t>
            </w:r>
          </w:p>
        </w:tc>
        <w:tc>
          <w:tcPr>
            <w:tcW w:w="2405" w:type="dxa"/>
            <w:tcBorders>
              <w:top w:val="single" w:sz="4" w:space="0" w:color="auto"/>
              <w:left w:val="single" w:sz="4" w:space="0" w:color="auto"/>
              <w:bottom w:val="single" w:sz="4" w:space="0" w:color="auto"/>
            </w:tcBorders>
            <w:shd w:val="clear" w:color="auto" w:fill="FFFFFF"/>
          </w:tcPr>
          <w:p w:rsidR="00F5208D" w:rsidRPr="008A6B28" w:rsidRDefault="007D204F" w:rsidP="008A6B28">
            <w:pPr>
              <w:pStyle w:val="Bodytext20"/>
              <w:shd w:val="clear" w:color="auto" w:fill="auto"/>
              <w:spacing w:before="0" w:after="120" w:line="240" w:lineRule="auto"/>
              <w:ind w:left="113" w:right="113"/>
              <w:jc w:val="center"/>
              <w:rPr>
                <w:rStyle w:val="Bodytext23"/>
                <w:rFonts w:ascii="Sylfaen" w:hAnsi="Sylfaen"/>
                <w:sz w:val="24"/>
                <w:szCs w:val="24"/>
              </w:rPr>
            </w:pPr>
            <w:r w:rsidRPr="008A6B28">
              <w:rPr>
                <w:rStyle w:val="Bodytext23"/>
                <w:rFonts w:ascii="Sylfaen" w:hAnsi="Sylfaen"/>
                <w:sz w:val="24"/>
                <w:szCs w:val="24"/>
              </w:rPr>
              <w:t>2</w:t>
            </w:r>
          </w:p>
        </w:tc>
        <w:tc>
          <w:tcPr>
            <w:tcW w:w="1843" w:type="dxa"/>
            <w:tcBorders>
              <w:top w:val="single" w:sz="4" w:space="0" w:color="auto"/>
              <w:left w:val="single" w:sz="4" w:space="0" w:color="auto"/>
              <w:bottom w:val="single" w:sz="4" w:space="0" w:color="auto"/>
            </w:tcBorders>
            <w:shd w:val="clear" w:color="auto" w:fill="FFFFFF"/>
          </w:tcPr>
          <w:p w:rsidR="00F5208D" w:rsidRPr="008A6B28" w:rsidRDefault="007D204F" w:rsidP="008A6B28">
            <w:pPr>
              <w:pStyle w:val="Bodytext20"/>
              <w:shd w:val="clear" w:color="auto" w:fill="auto"/>
              <w:spacing w:before="0" w:after="120" w:line="240" w:lineRule="auto"/>
              <w:ind w:left="113" w:right="113"/>
              <w:jc w:val="center"/>
              <w:rPr>
                <w:rStyle w:val="Bodytext21"/>
                <w:rFonts w:ascii="Sylfaen" w:hAnsi="Sylfaen"/>
                <w:sz w:val="24"/>
                <w:szCs w:val="24"/>
              </w:rPr>
            </w:pPr>
            <w:r w:rsidRPr="008A6B28">
              <w:rPr>
                <w:rStyle w:val="Bodytext21"/>
                <w:rFonts w:ascii="Sylfaen" w:hAnsi="Sylfaen"/>
                <w:sz w:val="24"/>
                <w:szCs w:val="24"/>
              </w:rPr>
              <w:t>3</w:t>
            </w:r>
          </w:p>
        </w:tc>
        <w:tc>
          <w:tcPr>
            <w:tcW w:w="3115" w:type="dxa"/>
            <w:tcBorders>
              <w:top w:val="single" w:sz="4" w:space="0" w:color="auto"/>
              <w:left w:val="single" w:sz="4" w:space="0" w:color="auto"/>
              <w:bottom w:val="single" w:sz="4" w:space="0" w:color="auto"/>
            </w:tcBorders>
            <w:shd w:val="clear" w:color="auto" w:fill="FFFFFF"/>
          </w:tcPr>
          <w:p w:rsidR="00F5208D" w:rsidRPr="008A6B28" w:rsidRDefault="007D204F" w:rsidP="008A6B28">
            <w:pPr>
              <w:pStyle w:val="Bodytext20"/>
              <w:shd w:val="clear" w:color="auto" w:fill="auto"/>
              <w:spacing w:before="0" w:after="120" w:line="240" w:lineRule="auto"/>
              <w:ind w:left="113" w:right="113"/>
              <w:jc w:val="center"/>
              <w:rPr>
                <w:rStyle w:val="Bodytext21"/>
                <w:rFonts w:ascii="Sylfaen" w:hAnsi="Sylfaen"/>
                <w:sz w:val="24"/>
                <w:szCs w:val="24"/>
              </w:rPr>
            </w:pPr>
            <w:r w:rsidRPr="008A6B28">
              <w:rPr>
                <w:rStyle w:val="Bodytext21"/>
                <w:rFonts w:ascii="Sylfaen" w:hAnsi="Sylfaen"/>
                <w:sz w:val="24"/>
                <w:szCs w:val="24"/>
              </w:rPr>
              <w:t>4</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F5208D" w:rsidRPr="008A6B28" w:rsidRDefault="007D204F" w:rsidP="008A6B28">
            <w:pPr>
              <w:pStyle w:val="Bodytext20"/>
              <w:shd w:val="clear" w:color="auto" w:fill="auto"/>
              <w:spacing w:before="0" w:after="120" w:line="240" w:lineRule="auto"/>
              <w:ind w:left="113" w:right="113"/>
              <w:jc w:val="center"/>
              <w:rPr>
                <w:rStyle w:val="Bodytext21"/>
                <w:rFonts w:ascii="Sylfaen" w:hAnsi="Sylfaen"/>
                <w:sz w:val="24"/>
                <w:szCs w:val="24"/>
              </w:rPr>
            </w:pPr>
            <w:r w:rsidRPr="008A6B28">
              <w:rPr>
                <w:rStyle w:val="Bodytext21"/>
                <w:rFonts w:ascii="Sylfaen" w:hAnsi="Sylfaen"/>
                <w:sz w:val="24"/>
                <w:szCs w:val="24"/>
              </w:rPr>
              <w:t>5</w:t>
            </w:r>
          </w:p>
        </w:tc>
      </w:tr>
      <w:tr w:rsidR="00E812ED" w:rsidRPr="00E64288" w:rsidTr="008B4F9A">
        <w:trPr>
          <w:jc w:val="center"/>
        </w:trPr>
        <w:tc>
          <w:tcPr>
            <w:tcW w:w="16051" w:type="dxa"/>
            <w:gridSpan w:val="5"/>
            <w:tcBorders>
              <w:top w:val="single" w:sz="4" w:space="0" w:color="auto"/>
            </w:tcBorders>
            <w:shd w:val="clear" w:color="auto" w:fill="FFFFFF"/>
            <w:vAlign w:val="bottom"/>
          </w:tcPr>
          <w:p w:rsidR="00E812ED" w:rsidRPr="00E64288" w:rsidRDefault="007A645C" w:rsidP="00254CEB">
            <w:pPr>
              <w:tabs>
                <w:tab w:val="left" w:pos="851"/>
              </w:tabs>
              <w:spacing w:after="160" w:line="360" w:lineRule="auto"/>
              <w:ind w:left="112" w:right="116"/>
              <w:jc w:val="center"/>
            </w:pPr>
            <w:r>
              <w:rPr>
                <w:rStyle w:val="Bodytext21"/>
                <w:rFonts w:ascii="Sylfaen" w:eastAsia="Sylfaen" w:hAnsi="Sylfaen"/>
                <w:sz w:val="24"/>
                <w:szCs w:val="24"/>
              </w:rPr>
              <w:t>1.</w:t>
            </w:r>
            <w:r w:rsidR="00E812ED" w:rsidRPr="00E64288">
              <w:rPr>
                <w:rStyle w:val="Bodytext21"/>
                <w:rFonts w:ascii="Sylfaen" w:eastAsia="Sylfaen" w:hAnsi="Sylfaen"/>
                <w:sz w:val="24"/>
                <w:szCs w:val="24"/>
              </w:rPr>
              <w:t>«Մեկ պատուհանի» ազգային մեխանիզմների զարգացում</w:t>
            </w:r>
          </w:p>
        </w:tc>
      </w:tr>
      <w:tr w:rsidR="008B4F9A" w:rsidRPr="00E64288" w:rsidTr="008B4F9A">
        <w:trPr>
          <w:jc w:val="center"/>
        </w:trPr>
        <w:tc>
          <w:tcPr>
            <w:tcW w:w="5427" w:type="dxa"/>
            <w:shd w:val="clear" w:color="auto" w:fill="FFFFFF"/>
          </w:tcPr>
          <w:p w:rsidR="005E58D7" w:rsidRPr="00E64288" w:rsidRDefault="007A645C" w:rsidP="000D56A3">
            <w:pPr>
              <w:pStyle w:val="Bodytext20"/>
              <w:shd w:val="clear" w:color="auto" w:fill="auto"/>
              <w:tabs>
                <w:tab w:val="left" w:pos="851"/>
              </w:tabs>
              <w:spacing w:before="0" w:after="160" w:line="384" w:lineRule="auto"/>
              <w:ind w:left="113" w:right="113"/>
              <w:jc w:val="left"/>
              <w:rPr>
                <w:rFonts w:ascii="Sylfaen" w:hAnsi="Sylfaen"/>
                <w:sz w:val="24"/>
                <w:szCs w:val="24"/>
              </w:rPr>
            </w:pPr>
            <w:r>
              <w:rPr>
                <w:rStyle w:val="Bodytext21"/>
                <w:rFonts w:ascii="Sylfaen" w:hAnsi="Sylfaen"/>
                <w:sz w:val="24"/>
                <w:szCs w:val="24"/>
              </w:rPr>
              <w:t>1.1.</w:t>
            </w:r>
            <w:r w:rsidRPr="007A645C">
              <w:rPr>
                <w:rStyle w:val="Bodytext21"/>
                <w:rFonts w:ascii="Sylfaen" w:hAnsi="Sylfaen"/>
                <w:sz w:val="24"/>
                <w:szCs w:val="24"/>
              </w:rPr>
              <w:tab/>
            </w:r>
            <w:r w:rsidR="00EC2A2C" w:rsidRPr="00E64288">
              <w:rPr>
                <w:rStyle w:val="Bodytext21"/>
                <w:rFonts w:ascii="Sylfaen" w:hAnsi="Sylfaen"/>
                <w:sz w:val="24"/>
                <w:szCs w:val="24"/>
              </w:rPr>
              <w:t xml:space="preserve">Անդամ պետությունների օրենսդրության մեջ եւ միջազգային փորձում </w:t>
            </w:r>
            <w:r w:rsidR="00EC2A2C" w:rsidRPr="00E64288">
              <w:rPr>
                <w:rStyle w:val="Bodytext21"/>
                <w:rFonts w:ascii="Sylfaen" w:hAnsi="Sylfaen"/>
                <w:sz w:val="24"/>
                <w:szCs w:val="24"/>
              </w:rPr>
              <w:lastRenderedPageBreak/>
              <w:t>«մեկ պատուհանի» մեխանիզմի նկարագրում օգտագործվող եզրույթների համեմատում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Fonts w:ascii="Sylfaen" w:hAnsi="Sylfaen"/>
                <w:sz w:val="24"/>
                <w:szCs w:val="24"/>
              </w:rPr>
              <w:lastRenderedPageBreak/>
              <w:t>կետ 1.1</w:t>
            </w: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hուլիս</w:t>
            </w:r>
          </w:p>
        </w:tc>
        <w:tc>
          <w:tcPr>
            <w:tcW w:w="3115"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 xml:space="preserve">Եվրասիական տնտեսական </w:t>
            </w:r>
            <w:r w:rsidRPr="00E64288">
              <w:rPr>
                <w:rFonts w:ascii="Sylfaen" w:hAnsi="Sylfaen"/>
                <w:sz w:val="24"/>
                <w:szCs w:val="24"/>
              </w:rPr>
              <w:lastRenderedPageBreak/>
              <w:t>հանձնաժողովը (այսուհետ՝ Հանձնաժողով), Եվրասիական տնտեսական միության անդամ պետություններ (այսուհետ համապատասխանաբար՝ Միություն, անդամ պետություններ)</w:t>
            </w:r>
          </w:p>
        </w:tc>
        <w:tc>
          <w:tcPr>
            <w:tcW w:w="3261" w:type="dxa"/>
            <w:shd w:val="clear" w:color="auto" w:fill="FFFFFF"/>
          </w:tcPr>
          <w:p w:rsidR="005E58D7" w:rsidRPr="00E64288" w:rsidRDefault="00CB02FF"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lastRenderedPageBreak/>
              <w:t>Տեղեկատու -</w:t>
            </w:r>
            <w:r w:rsidR="008A48AD" w:rsidRPr="00E64288">
              <w:rPr>
                <w:rFonts w:ascii="Sylfaen" w:hAnsi="Sylfaen"/>
                <w:sz w:val="24"/>
                <w:szCs w:val="24"/>
              </w:rPr>
              <w:t xml:space="preserve">տեղեկատվական </w:t>
            </w:r>
            <w:r w:rsidR="00EC2A2C" w:rsidRPr="00E64288">
              <w:rPr>
                <w:rFonts w:ascii="Sylfaen" w:hAnsi="Sylfaen"/>
                <w:sz w:val="24"/>
                <w:szCs w:val="24"/>
              </w:rPr>
              <w:lastRenderedPageBreak/>
              <w:t>աղյուսակ</w:t>
            </w:r>
          </w:p>
        </w:tc>
      </w:tr>
      <w:tr w:rsidR="008B4F9A" w:rsidRPr="00E64288" w:rsidTr="008B4F9A">
        <w:trPr>
          <w:jc w:val="center"/>
        </w:trPr>
        <w:tc>
          <w:tcPr>
            <w:tcW w:w="5427" w:type="dxa"/>
            <w:shd w:val="clear" w:color="auto" w:fill="FFFFFF"/>
          </w:tcPr>
          <w:p w:rsidR="005E58D7" w:rsidRPr="00E64288" w:rsidRDefault="007A645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lastRenderedPageBreak/>
              <w:t>1.2.</w:t>
            </w:r>
            <w:r w:rsidRPr="007A645C">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մեխանիզմների զարգացման վիճակի վերլուծության իրականացում՝ մշակված մեթոդիկային համապատասխան</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1.4</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B80699" w:rsidP="00254CEB">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1.2.1.</w:t>
            </w:r>
            <w:r w:rsidRPr="003B3650">
              <w:rPr>
                <w:rStyle w:val="Bodytext21"/>
                <w:rFonts w:ascii="Sylfaen" w:hAnsi="Sylfaen"/>
                <w:sz w:val="24"/>
                <w:szCs w:val="24"/>
              </w:rPr>
              <w:tab/>
            </w:r>
            <w:r w:rsidR="00EC2A2C" w:rsidRPr="00E64288">
              <w:rPr>
                <w:rStyle w:val="Bodytext21"/>
                <w:rFonts w:ascii="Sylfaen" w:hAnsi="Sylfaen"/>
                <w:sz w:val="24"/>
                <w:szCs w:val="24"/>
              </w:rPr>
              <w:t xml:space="preserve">Եվրասիական տնտեսական հանձնաժողովի կոլեգիայի 2015 թվականի սեպտեմբերի 28-ի թիվ 123 որոշմամբ հաստատված՝ «մեկ պատուհանի» ազգային մեխանիզմների զարգացման վիճակի գնահատման մեթոդիկային (այսուհետ՝ Մեթոդիկա) համապատասխան անդամ պետություններում իրականացված՝ «մեկ պատուհանի» ազգային մեխանիզմների զարգացման վիճակի վերլուծության արդյունքներով ամփոփիչ </w:t>
            </w:r>
            <w:r w:rsidR="00EC2A2C" w:rsidRPr="00E64288">
              <w:rPr>
                <w:rStyle w:val="Bodytext21"/>
                <w:rFonts w:ascii="Sylfaen" w:hAnsi="Sylfaen"/>
                <w:sz w:val="24"/>
                <w:szCs w:val="24"/>
              </w:rPr>
              <w:lastRenderedPageBreak/>
              <w:t>հաշվետվությունների նախապատրաստում եւ ներկայացում Հանձնաժողով</w:t>
            </w:r>
          </w:p>
        </w:tc>
        <w:tc>
          <w:tcPr>
            <w:tcW w:w="2405" w:type="dxa"/>
            <w:shd w:val="clear" w:color="auto" w:fill="FFFFFF"/>
          </w:tcPr>
          <w:p w:rsidR="005E58D7" w:rsidRPr="00B80699"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ապրիլ</w:t>
            </w:r>
            <w:r w:rsidRPr="00E64288">
              <w:rPr>
                <w:rStyle w:val="FootnoteReference"/>
                <w:rFonts w:ascii="Sylfaen" w:hAnsi="Sylfaen"/>
                <w:sz w:val="24"/>
                <w:szCs w:val="24"/>
              </w:rPr>
              <w:footnoteReference w:id="1"/>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անդամ պետությունների ամփոփիչ հաշվետվությունները</w:t>
            </w:r>
          </w:p>
        </w:tc>
      </w:tr>
      <w:tr w:rsidR="008B4F9A" w:rsidRPr="00E64288" w:rsidTr="008B4F9A">
        <w:trPr>
          <w:jc w:val="center"/>
        </w:trPr>
        <w:tc>
          <w:tcPr>
            <w:tcW w:w="5427" w:type="dxa"/>
            <w:shd w:val="clear" w:color="auto" w:fill="FFFFFF"/>
            <w:vAlign w:val="bottom"/>
          </w:tcPr>
          <w:p w:rsidR="005E58D7" w:rsidRPr="00E64288" w:rsidRDefault="00EC2A2C" w:rsidP="00254CEB">
            <w:pPr>
              <w:pStyle w:val="Bodytext20"/>
              <w:shd w:val="clear" w:color="auto" w:fill="auto"/>
              <w:tabs>
                <w:tab w:val="left" w:pos="851"/>
              </w:tabs>
              <w:spacing w:before="0" w:after="160" w:line="360" w:lineRule="auto"/>
              <w:ind w:left="592" w:right="116"/>
              <w:jc w:val="left"/>
              <w:rPr>
                <w:rFonts w:ascii="Sylfaen" w:hAnsi="Sylfaen"/>
                <w:sz w:val="24"/>
                <w:szCs w:val="24"/>
              </w:rPr>
            </w:pPr>
            <w:r w:rsidRPr="00E64288">
              <w:rPr>
                <w:rStyle w:val="Bodytext21"/>
                <w:rFonts w:ascii="Sylfaen" w:hAnsi="Sylfaen"/>
                <w:sz w:val="24"/>
                <w:szCs w:val="24"/>
              </w:rPr>
              <w:lastRenderedPageBreak/>
              <w:t>1.2.2.</w:t>
            </w:r>
            <w:r w:rsidR="00B80699" w:rsidRPr="00B80699">
              <w:rPr>
                <w:rStyle w:val="Bodytext21"/>
                <w:rFonts w:ascii="Sylfaen" w:hAnsi="Sylfaen"/>
                <w:sz w:val="24"/>
                <w:szCs w:val="24"/>
              </w:rPr>
              <w:tab/>
            </w:r>
            <w:r w:rsidRPr="00E64288">
              <w:rPr>
                <w:rFonts w:ascii="Sylfaen" w:hAnsi="Sylfaen"/>
                <w:sz w:val="24"/>
                <w:szCs w:val="24"/>
              </w:rPr>
              <w:t xml:space="preserve">Անդամ պետությունների ներկայացրած ամփոփիչ հաշվետվությունների հիման վրա՝ Մեթոդիկայի 20-րդ կետին համապատասխան՝ «մեկ պատուհանի» ազգային մեխանիզմների զարգացման վիճակի գնահատման իրականացում (սույն </w:t>
            </w:r>
            <w:r w:rsidR="00FE5EB2" w:rsidRPr="00E64288">
              <w:rPr>
                <w:rFonts w:ascii="Sylfaen" w:hAnsi="Sylfaen"/>
                <w:sz w:val="24"/>
                <w:szCs w:val="24"/>
              </w:rPr>
              <w:t>պ</w:t>
            </w:r>
            <w:r w:rsidRPr="00E64288">
              <w:rPr>
                <w:rFonts w:ascii="Sylfaen" w:hAnsi="Sylfaen"/>
                <w:sz w:val="24"/>
                <w:szCs w:val="24"/>
              </w:rPr>
              <w:t>լանի 1.2.1 կետ)</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հունիս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 (հաշվի է առնվում յուրաքանչյուր անդամ պետության մասով եզրակացություններ նախապատրաստելիս)</w:t>
            </w:r>
          </w:p>
        </w:tc>
      </w:tr>
      <w:tr w:rsidR="008B4F9A" w:rsidRPr="00E64288" w:rsidTr="008B4F9A">
        <w:trPr>
          <w:jc w:val="center"/>
        </w:trPr>
        <w:tc>
          <w:tcPr>
            <w:tcW w:w="5427" w:type="dxa"/>
            <w:shd w:val="clear" w:color="auto" w:fill="FFFFFF"/>
          </w:tcPr>
          <w:p w:rsidR="005E58D7" w:rsidRPr="00E64288" w:rsidRDefault="00B80699"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1.3.</w:t>
            </w:r>
            <w:r w:rsidRPr="00B80699">
              <w:rPr>
                <w:rStyle w:val="Bodytext21"/>
                <w:rFonts w:ascii="Sylfaen" w:hAnsi="Sylfaen"/>
                <w:sz w:val="24"/>
                <w:szCs w:val="24"/>
              </w:rPr>
              <w:tab/>
            </w:r>
            <w:r w:rsidR="00EC2A2C" w:rsidRPr="00E64288">
              <w:rPr>
                <w:rStyle w:val="Bodytext21"/>
                <w:rFonts w:ascii="Sylfaen" w:hAnsi="Sylfaen"/>
                <w:sz w:val="24"/>
                <w:szCs w:val="24"/>
              </w:rPr>
              <w:t xml:space="preserve">«Մեկ պատուհանի» ազգային մեխանիզմների զարգացման վիճակի գնահատման արդյունքների հավաքագրում եւ </w:t>
            </w:r>
            <w:r w:rsidR="00EC2A2C" w:rsidRPr="00E64288">
              <w:rPr>
                <w:rStyle w:val="Bodytext21"/>
                <w:rFonts w:ascii="Sylfaen" w:hAnsi="Sylfaen"/>
                <w:sz w:val="24"/>
                <w:szCs w:val="24"/>
              </w:rPr>
              <w:lastRenderedPageBreak/>
              <w:t>ամփոփում։ Արտաքին տնտեսական գործունեության հետ կապված պետական ընթացակարգերի եւ բիզնես գործընթացների օպտիմալացման, ինչպես նաեւ «մեկ պատուհանի» ազգային մեխանիզմների զարգացման վերաբերյալ եզրակացությունների մշակում՝ ըստ յուրաքանչյուր անդամ պետության</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lastRenderedPageBreak/>
              <w:t>կետ 1.5</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BF77FD" w:rsidP="007B218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1.3.1.</w:t>
            </w:r>
            <w:r>
              <w:rPr>
                <w:rStyle w:val="Bodytext21"/>
                <w:rFonts w:ascii="Sylfaen" w:hAnsi="Sylfaen"/>
                <w:sz w:val="24"/>
                <w:szCs w:val="24"/>
              </w:rPr>
              <w:tab/>
            </w:r>
            <w:r w:rsidR="00EC2A2C" w:rsidRPr="00E64288">
              <w:rPr>
                <w:rStyle w:val="Bodytext21"/>
                <w:rFonts w:ascii="Sylfaen" w:hAnsi="Sylfaen"/>
                <w:sz w:val="24"/>
                <w:szCs w:val="24"/>
              </w:rPr>
              <w:t>Անդամ պետությունների ներկայացրած ամփոփիչ հաշվետվությունների (սույն Պլանի 1.2.1 կետ) եւ Հանձնաժողովի հաշվետվության (սույն Պլանի 1.2.2 կետ) հիման վրա</w:t>
            </w:r>
            <w:r w:rsidR="00681CC7" w:rsidRPr="00E64288">
              <w:rPr>
                <w:rStyle w:val="Bodytext21"/>
                <w:rFonts w:ascii="Sylfaen" w:hAnsi="Sylfaen"/>
                <w:sz w:val="24"/>
                <w:szCs w:val="24"/>
              </w:rPr>
              <w:t>՝</w:t>
            </w:r>
            <w:r w:rsidR="00EC2A2C" w:rsidRPr="00E64288">
              <w:rPr>
                <w:rStyle w:val="Bodytext21"/>
                <w:rFonts w:ascii="Sylfaen" w:hAnsi="Sylfaen"/>
                <w:sz w:val="24"/>
                <w:szCs w:val="24"/>
              </w:rPr>
              <w:t xml:space="preserve"> յուրաքանչյուր անդամ պետության մասով </w:t>
            </w:r>
            <w:r w:rsidR="00EC2A2C" w:rsidRPr="00E64288">
              <w:rPr>
                <w:rStyle w:val="Bodytext21"/>
                <w:rFonts w:ascii="Sylfaen" w:hAnsi="Sylfaen"/>
                <w:sz w:val="24"/>
                <w:szCs w:val="24"/>
              </w:rPr>
              <w:lastRenderedPageBreak/>
              <w:t>եզրակացությունների մշակում՝ «մեկ պատուհանի» ազգային մեխանիզմների հետագա զարգացման վերաբերյալ առաջարկություններով</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hուլիս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եզրակացություններ</w:t>
            </w:r>
          </w:p>
        </w:tc>
      </w:tr>
      <w:tr w:rsidR="008B4F9A" w:rsidRPr="00E64288" w:rsidTr="008B4F9A">
        <w:trPr>
          <w:jc w:val="center"/>
        </w:trPr>
        <w:tc>
          <w:tcPr>
            <w:tcW w:w="5427" w:type="dxa"/>
            <w:shd w:val="clear" w:color="auto" w:fill="FFFFFF"/>
            <w:vAlign w:val="bottom"/>
          </w:tcPr>
          <w:p w:rsidR="005E58D7" w:rsidRPr="00E64288" w:rsidRDefault="005E58D7" w:rsidP="007B218D">
            <w:pPr>
              <w:pStyle w:val="Bodytext20"/>
              <w:shd w:val="clear" w:color="auto" w:fill="auto"/>
              <w:tabs>
                <w:tab w:val="left" w:pos="851"/>
              </w:tabs>
              <w:spacing w:before="0" w:after="160" w:line="360" w:lineRule="auto"/>
              <w:ind w:left="592" w:right="116"/>
              <w:jc w:val="left"/>
              <w:rPr>
                <w:rFonts w:ascii="Sylfaen" w:hAnsi="Sylfaen"/>
                <w:sz w:val="24"/>
                <w:szCs w:val="24"/>
              </w:rPr>
            </w:pP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B80699" w:rsidP="007B218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1.3.2.</w:t>
            </w:r>
            <w:r w:rsidRPr="00B80699">
              <w:rPr>
                <w:rStyle w:val="Bodytext21"/>
                <w:rFonts w:ascii="Sylfaen" w:hAnsi="Sylfaen"/>
                <w:sz w:val="24"/>
                <w:szCs w:val="24"/>
              </w:rPr>
              <w:tab/>
            </w:r>
            <w:r w:rsidR="00EC2A2C" w:rsidRPr="00E64288">
              <w:rPr>
                <w:rStyle w:val="Bodytext21"/>
                <w:rFonts w:ascii="Sylfaen" w:hAnsi="Sylfaen"/>
                <w:sz w:val="24"/>
                <w:szCs w:val="24"/>
              </w:rPr>
              <w:t>Եվրասիական միջկառավարական խորհրդին տեղեկացելու նպատակով</w:t>
            </w:r>
            <w:r w:rsidR="00AD2A01">
              <w:rPr>
                <w:rStyle w:val="Bodytext21"/>
                <w:rFonts w:ascii="Sylfaen" w:hAnsi="Sylfaen"/>
                <w:sz w:val="24"/>
                <w:szCs w:val="24"/>
              </w:rPr>
              <w:t xml:space="preserve"> </w:t>
            </w:r>
            <w:r w:rsidR="00EC2A2C" w:rsidRPr="00E64288">
              <w:rPr>
                <w:rStyle w:val="Bodytext21"/>
                <w:rFonts w:ascii="Sylfaen" w:hAnsi="Sylfaen"/>
                <w:sz w:val="24"/>
                <w:szCs w:val="24"/>
              </w:rPr>
              <w:t>«մեկ պատուհանի» ազգային մեխանիզմների զարգացման վիճակի գնահատման վերաբերյալ զեկույցի նախապատրաստում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III եռամսյակ</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զեկույց Եվրասիական միջկառավարական խորհրդի նիստին</w:t>
            </w:r>
          </w:p>
        </w:tc>
      </w:tr>
      <w:tr w:rsidR="008B4F9A" w:rsidRPr="00E64288" w:rsidTr="008B4F9A">
        <w:trPr>
          <w:jc w:val="center"/>
        </w:trPr>
        <w:tc>
          <w:tcPr>
            <w:tcW w:w="5427" w:type="dxa"/>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sidRPr="00E64288">
              <w:rPr>
                <w:rStyle w:val="Bodytext21"/>
                <w:rFonts w:ascii="Sylfaen" w:hAnsi="Sylfaen"/>
                <w:sz w:val="24"/>
                <w:szCs w:val="24"/>
              </w:rPr>
              <w:t xml:space="preserve">1.4. «Մեկ պատուհանի» ազգային մեխանիզմի էտալոնային մոդելի գործառույթների եւ ճարտարապետության մանրամասն </w:t>
            </w:r>
            <w:r w:rsidRPr="00E64288">
              <w:rPr>
                <w:rStyle w:val="Bodytext21"/>
                <w:rFonts w:ascii="Sylfaen" w:hAnsi="Sylfaen"/>
                <w:sz w:val="24"/>
                <w:szCs w:val="24"/>
              </w:rPr>
              <w:lastRenderedPageBreak/>
              <w:t>նկարագրի, այդ էտալոնային մոդելում ընդգրկված պետական ընթացակարգերի եւ ծառայությունների ցանկի մշակում ու հաստատում՝ հաշվի առնելով վերազգային հատվածը</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Fonts w:ascii="Sylfaen" w:hAnsi="Sylfaen"/>
                <w:sz w:val="24"/>
                <w:szCs w:val="24"/>
              </w:rPr>
              <w:lastRenderedPageBreak/>
              <w:t>կետ 1.6</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B80699" w:rsidP="007B218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1.4.1.</w:t>
            </w:r>
            <w:r w:rsidRPr="003B3650">
              <w:rPr>
                <w:rStyle w:val="Bodytext21"/>
                <w:rFonts w:ascii="Sylfaen" w:hAnsi="Sylfaen"/>
                <w:sz w:val="24"/>
                <w:szCs w:val="24"/>
              </w:rPr>
              <w:tab/>
            </w:r>
            <w:r w:rsidR="00EC2A2C" w:rsidRPr="00E64288">
              <w:rPr>
                <w:rStyle w:val="Bodytext21"/>
                <w:rFonts w:ascii="Sylfaen" w:hAnsi="Sylfaen"/>
                <w:sz w:val="24"/>
                <w:szCs w:val="24"/>
              </w:rPr>
              <w:t>«Արտաքին տնտեսական գործունեության կարգավորման համակարգում «մեկ պատուհանի» ազգային մեխանիզմի էտալոնային մոդելի գործառույթների, ճարտարապետության նկարագրի, ինչպես նաեւ այդ մոդելի</w:t>
            </w:r>
            <w:r w:rsidR="008A48AD" w:rsidRPr="00E64288">
              <w:rPr>
                <w:rStyle w:val="Bodytext21"/>
                <w:rFonts w:ascii="Sylfaen" w:hAnsi="Sylfaen"/>
                <w:sz w:val="24"/>
                <w:szCs w:val="24"/>
              </w:rPr>
              <w:t xml:space="preserve"> ցուցադրման համար նախատեսված մակետի ինտերակտիվ ներկայացման</w:t>
            </w:r>
            <w:r w:rsidR="00EC2A2C" w:rsidRPr="00E64288">
              <w:rPr>
                <w:rStyle w:val="Bodytext21"/>
                <w:rFonts w:ascii="Sylfaen" w:hAnsi="Sylfaen"/>
                <w:sz w:val="24"/>
                <w:szCs w:val="24"/>
              </w:rPr>
              <w:t xml:space="preserve"> մշակում» թեմայով գիտահետազոտական </w:t>
            </w:r>
            <w:r w:rsidR="00EC2A2C" w:rsidRPr="00E64288">
              <w:rPr>
                <w:rStyle w:val="Bodytext21"/>
                <w:rFonts w:ascii="Sylfaen" w:hAnsi="Sylfaen"/>
                <w:sz w:val="24"/>
                <w:szCs w:val="24"/>
              </w:rPr>
              <w:lastRenderedPageBreak/>
              <w:t>աշխատանք իրականացնելու տեխնիկական առաջադրանքի մշակում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մայիս**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տեխնիկական առաջադրանք</w:t>
            </w:r>
          </w:p>
        </w:tc>
      </w:tr>
      <w:tr w:rsidR="008B4F9A" w:rsidRPr="00E64288" w:rsidTr="008B4F9A">
        <w:trPr>
          <w:jc w:val="center"/>
        </w:trPr>
        <w:tc>
          <w:tcPr>
            <w:tcW w:w="5427" w:type="dxa"/>
            <w:shd w:val="clear" w:color="auto" w:fill="FFFFFF"/>
            <w:vAlign w:val="bottom"/>
          </w:tcPr>
          <w:p w:rsidR="005E58D7" w:rsidRPr="00E64288" w:rsidRDefault="00B80699" w:rsidP="007B218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1.4.2.</w:t>
            </w:r>
            <w:r w:rsidRPr="003B3650">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մեխանիզմի էտալոնային մոդելի գործառույթների եւ ճարտարապետության մանրամասն նկարագրի մշակում եւ համաձայնեցում, Միության մարմնի</w:t>
            </w:r>
            <w:r w:rsidR="00AD2A01">
              <w:rPr>
                <w:rStyle w:val="Bodytext21"/>
                <w:rFonts w:ascii="Sylfaen" w:hAnsi="Sylfaen"/>
                <w:sz w:val="24"/>
                <w:szCs w:val="24"/>
              </w:rPr>
              <w:t xml:space="preserve"> </w:t>
            </w:r>
            <w:r w:rsidR="00EC2A2C" w:rsidRPr="00E64288">
              <w:rPr>
                <w:rStyle w:val="Bodytext21"/>
                <w:rFonts w:ascii="Sylfaen" w:hAnsi="Sylfaen"/>
                <w:sz w:val="24"/>
                <w:szCs w:val="24"/>
              </w:rPr>
              <w:t>ակտի նախապատրաստում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հոկտեմբեր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Հանձնաժողովի կոլեգիայի ակտ</w:t>
            </w:r>
          </w:p>
        </w:tc>
      </w:tr>
      <w:tr w:rsidR="008B4F9A" w:rsidRPr="00E64288" w:rsidTr="008B4F9A">
        <w:trPr>
          <w:jc w:val="center"/>
        </w:trPr>
        <w:tc>
          <w:tcPr>
            <w:tcW w:w="5427" w:type="dxa"/>
            <w:shd w:val="clear" w:color="auto" w:fill="FFFFFF"/>
          </w:tcPr>
          <w:p w:rsidR="005E58D7" w:rsidRPr="00E64288" w:rsidRDefault="003D799D" w:rsidP="007B218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1.4.3.</w:t>
            </w:r>
            <w:r w:rsidRPr="003B3650">
              <w:rPr>
                <w:rStyle w:val="Bodytext21"/>
                <w:rFonts w:ascii="Sylfaen" w:hAnsi="Sylfaen"/>
                <w:sz w:val="24"/>
                <w:szCs w:val="24"/>
              </w:rPr>
              <w:tab/>
            </w:r>
            <w:r w:rsidR="00EC2A2C" w:rsidRPr="00E64288">
              <w:rPr>
                <w:rStyle w:val="Bodytext21"/>
                <w:rFonts w:ascii="Sylfaen" w:hAnsi="Sylfaen"/>
                <w:sz w:val="24"/>
                <w:szCs w:val="24"/>
              </w:rPr>
              <w:t xml:space="preserve">«Մեկ պատուհանի» ազգային մեխանիզմի էտալոնային մոդելի </w:t>
            </w:r>
            <w:r w:rsidR="008A48AD" w:rsidRPr="00E64288">
              <w:rPr>
                <w:rStyle w:val="Bodytext21"/>
                <w:rFonts w:ascii="Sylfaen" w:hAnsi="Sylfaen"/>
                <w:sz w:val="24"/>
                <w:szCs w:val="24"/>
              </w:rPr>
              <w:t>ինտերակտիվ ներկայացման</w:t>
            </w:r>
            <w:r w:rsidR="00EC2A2C" w:rsidRPr="00E64288">
              <w:rPr>
                <w:rStyle w:val="Bodytext21"/>
                <w:rFonts w:ascii="Sylfaen" w:hAnsi="Sylfaen"/>
                <w:sz w:val="24"/>
                <w:szCs w:val="24"/>
              </w:rPr>
              <w:t xml:space="preserve"> ստեղծում՝ դրա ֆունկցիոնալ նկարագրին համապատասխան</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ինտերակտիվ ներկայացում</w:t>
            </w:r>
          </w:p>
        </w:tc>
      </w:tr>
      <w:tr w:rsidR="008B4F9A" w:rsidRPr="00E64288" w:rsidTr="008B4F9A">
        <w:trPr>
          <w:jc w:val="center"/>
        </w:trPr>
        <w:tc>
          <w:tcPr>
            <w:tcW w:w="5427" w:type="dxa"/>
            <w:shd w:val="clear" w:color="auto" w:fill="FFFFFF"/>
            <w:vAlign w:val="bottom"/>
          </w:tcPr>
          <w:p w:rsidR="005E58D7" w:rsidRPr="00E64288" w:rsidRDefault="003D799D" w:rsidP="007B218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1.4.4.</w:t>
            </w:r>
            <w:r w:rsidRPr="003B3650">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մեխանիզմի էտալոնային մոդելի հաստատում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 xml:space="preserve">Եվրասիական տնտեսական բարձրագույն խորհրդի որոշման նախագիծը </w:t>
            </w:r>
          </w:p>
        </w:tc>
      </w:tr>
      <w:tr w:rsidR="008B4F9A" w:rsidRPr="00E64288" w:rsidTr="008B4F9A">
        <w:trPr>
          <w:jc w:val="center"/>
        </w:trPr>
        <w:tc>
          <w:tcPr>
            <w:tcW w:w="5427" w:type="dxa"/>
            <w:shd w:val="clear" w:color="auto" w:fill="FFFFFF"/>
          </w:tcPr>
          <w:p w:rsidR="005E58D7" w:rsidRPr="00E64288" w:rsidRDefault="003D799D"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1.5.</w:t>
            </w:r>
            <w:r w:rsidRPr="003D799D">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մեխանիզմների մշակում, ներդրում եւ օպտիմալացում</w:t>
            </w:r>
          </w:p>
        </w:tc>
        <w:tc>
          <w:tcPr>
            <w:tcW w:w="2405" w:type="dxa"/>
            <w:shd w:val="clear" w:color="auto" w:fill="FFFFFF"/>
          </w:tcPr>
          <w:p w:rsidR="005E58D7" w:rsidRPr="00E64288" w:rsidRDefault="00EC2A2C" w:rsidP="005E74D1">
            <w:pPr>
              <w:pStyle w:val="Bodytext20"/>
              <w:shd w:val="clear" w:color="auto" w:fill="auto"/>
              <w:tabs>
                <w:tab w:val="left" w:pos="851"/>
              </w:tabs>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1.7</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tcPr>
          <w:p w:rsidR="005E58D7" w:rsidRPr="00E64288" w:rsidRDefault="003D799D"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1.5.1.</w:t>
            </w:r>
            <w:r w:rsidRPr="003B3650">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մեխանիզմների զարգացման հայեցակարգերի ստեղծում կամ բարելավում</w:t>
            </w:r>
          </w:p>
        </w:tc>
        <w:tc>
          <w:tcPr>
            <w:tcW w:w="2405" w:type="dxa"/>
            <w:shd w:val="clear" w:color="auto" w:fill="FFFFFF"/>
          </w:tcPr>
          <w:p w:rsidR="005E58D7" w:rsidRPr="00E64288" w:rsidRDefault="005E58D7" w:rsidP="005E74D1">
            <w:pPr>
              <w:tabs>
                <w:tab w:val="left" w:pos="851"/>
              </w:tabs>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w:t>
            </w:r>
          </w:p>
        </w:tc>
      </w:tr>
      <w:tr w:rsidR="008B4F9A" w:rsidRPr="00E64288" w:rsidTr="008B4F9A">
        <w:trPr>
          <w:jc w:val="center"/>
        </w:trPr>
        <w:tc>
          <w:tcPr>
            <w:tcW w:w="5427" w:type="dxa"/>
            <w:shd w:val="clear" w:color="auto" w:fill="FFFFFF"/>
          </w:tcPr>
          <w:p w:rsidR="005E58D7" w:rsidRPr="00E64288" w:rsidRDefault="003D799D"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1.5.2.</w:t>
            </w:r>
            <w:r w:rsidRPr="003B3650">
              <w:rPr>
                <w:rStyle w:val="Bodytext21"/>
                <w:rFonts w:ascii="Sylfaen" w:hAnsi="Sylfaen"/>
                <w:sz w:val="24"/>
                <w:szCs w:val="24"/>
              </w:rPr>
              <w:tab/>
            </w:r>
            <w:r w:rsidR="00EC2A2C" w:rsidRPr="00E64288">
              <w:rPr>
                <w:rStyle w:val="Bodytext21"/>
                <w:rFonts w:ascii="Sylfaen" w:hAnsi="Sylfaen"/>
                <w:sz w:val="24"/>
                <w:szCs w:val="24"/>
              </w:rPr>
              <w:t xml:space="preserve">«Մեկ պատուհանի» ազգային մեխանիզմների ստեղծման հետ կապված </w:t>
            </w:r>
            <w:r w:rsidR="00EC2A2C" w:rsidRPr="00E64288">
              <w:rPr>
                <w:rStyle w:val="Bodytext21"/>
                <w:rFonts w:ascii="Sylfaen" w:hAnsi="Sylfaen"/>
                <w:sz w:val="24"/>
                <w:szCs w:val="24"/>
              </w:rPr>
              <w:lastRenderedPageBreak/>
              <w:t>միջոցառումների պլանների («ճանապարհային քարտեզների») նախապատրաստում կամ թարմացում՝ հաշվի առնելով Միության մարմինների ակտերը</w:t>
            </w:r>
          </w:p>
        </w:tc>
        <w:tc>
          <w:tcPr>
            <w:tcW w:w="2405" w:type="dxa"/>
            <w:shd w:val="clear" w:color="auto" w:fill="FFFFFF"/>
          </w:tcPr>
          <w:p w:rsidR="005E58D7" w:rsidRPr="00E64288" w:rsidRDefault="005E58D7" w:rsidP="005E74D1">
            <w:pPr>
              <w:tabs>
                <w:tab w:val="left" w:pos="851"/>
              </w:tabs>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w:t>
            </w:r>
          </w:p>
        </w:tc>
      </w:tr>
      <w:tr w:rsidR="008B4F9A" w:rsidRPr="00E64288" w:rsidTr="008B4F9A">
        <w:trPr>
          <w:jc w:val="center"/>
        </w:trPr>
        <w:tc>
          <w:tcPr>
            <w:tcW w:w="5427" w:type="dxa"/>
            <w:shd w:val="clear" w:color="auto" w:fill="FFFFFF"/>
            <w:vAlign w:val="bottom"/>
          </w:tcPr>
          <w:p w:rsidR="005E58D7" w:rsidRPr="00E64288" w:rsidRDefault="003D799D"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1.5.3.</w:t>
            </w:r>
            <w:r w:rsidRPr="003B3650">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մեխանիզմի տարրերի հետ կապված պիլոտային ծրագրերի իրականացում</w:t>
            </w:r>
          </w:p>
        </w:tc>
        <w:tc>
          <w:tcPr>
            <w:tcW w:w="2405" w:type="dxa"/>
            <w:shd w:val="clear" w:color="auto" w:fill="FFFFFF"/>
          </w:tcPr>
          <w:p w:rsidR="005E58D7" w:rsidRPr="00E64288" w:rsidRDefault="005E58D7" w:rsidP="005E74D1">
            <w:pPr>
              <w:tabs>
                <w:tab w:val="left" w:pos="851"/>
              </w:tabs>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w:t>
            </w:r>
          </w:p>
        </w:tc>
      </w:tr>
      <w:tr w:rsidR="008B4F9A" w:rsidRPr="00E64288" w:rsidTr="008B4F9A">
        <w:trPr>
          <w:jc w:val="center"/>
        </w:trPr>
        <w:tc>
          <w:tcPr>
            <w:tcW w:w="5427" w:type="dxa"/>
            <w:shd w:val="clear" w:color="auto" w:fill="FFFFFF"/>
            <w:vAlign w:val="bottom"/>
          </w:tcPr>
          <w:p w:rsidR="005E58D7" w:rsidRPr="00E64288" w:rsidRDefault="003D799D"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1.5.4.</w:t>
            </w:r>
            <w:r w:rsidRPr="003D799D">
              <w:rPr>
                <w:rStyle w:val="Bodytext21"/>
                <w:rFonts w:ascii="Sylfaen" w:hAnsi="Sylfaen"/>
                <w:sz w:val="24"/>
                <w:szCs w:val="24"/>
              </w:rPr>
              <w:tab/>
            </w:r>
            <w:r w:rsidR="00EC2A2C" w:rsidRPr="00E64288">
              <w:rPr>
                <w:rStyle w:val="Bodytext21"/>
                <w:rFonts w:ascii="Sylfaen" w:hAnsi="Sylfaen"/>
                <w:sz w:val="24"/>
                <w:szCs w:val="24"/>
              </w:rPr>
              <w:t>Անդամ պետություններում ապրանքների էլեկտրոնային հայտարարագրման զարգացման մակարդակի վերլուծության կատարում, եզրակացության նախապատրաստում</w:t>
            </w:r>
          </w:p>
        </w:tc>
        <w:tc>
          <w:tcPr>
            <w:tcW w:w="2405" w:type="dxa"/>
            <w:shd w:val="clear" w:color="auto" w:fill="FFFFFF"/>
          </w:tcPr>
          <w:p w:rsidR="005E58D7" w:rsidRPr="00E64288" w:rsidRDefault="005E58D7" w:rsidP="005E74D1">
            <w:pPr>
              <w:tabs>
                <w:tab w:val="left" w:pos="851"/>
              </w:tabs>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 xml:space="preserve">եզրակացություն՝ վերլուծության արդյունքներով (հաշվի է առնվում </w:t>
            </w:r>
            <w:r w:rsidR="008A48AD" w:rsidRPr="00E64288">
              <w:rPr>
                <w:rStyle w:val="Bodytext21"/>
                <w:rFonts w:ascii="Sylfaen" w:hAnsi="Sylfaen"/>
                <w:sz w:val="24"/>
                <w:szCs w:val="24"/>
              </w:rPr>
              <w:t>տիպային հայեցակարգ</w:t>
            </w:r>
            <w:r w:rsidRPr="00E64288">
              <w:rPr>
                <w:rStyle w:val="Bodytext21"/>
                <w:rFonts w:ascii="Sylfaen" w:hAnsi="Sylfaen"/>
                <w:sz w:val="24"/>
                <w:szCs w:val="24"/>
              </w:rPr>
              <w:t xml:space="preserve"> </w:t>
            </w:r>
            <w:r w:rsidRPr="00E64288">
              <w:rPr>
                <w:rStyle w:val="Bodytext21"/>
                <w:rFonts w:ascii="Sylfaen" w:hAnsi="Sylfaen"/>
                <w:sz w:val="24"/>
                <w:szCs w:val="24"/>
              </w:rPr>
              <w:lastRenderedPageBreak/>
              <w:t>նախապատրաստելիս)</w:t>
            </w:r>
          </w:p>
        </w:tc>
      </w:tr>
      <w:tr w:rsidR="008B4F9A" w:rsidRPr="00E64288" w:rsidTr="008B4F9A">
        <w:trPr>
          <w:jc w:val="center"/>
        </w:trPr>
        <w:tc>
          <w:tcPr>
            <w:tcW w:w="5427" w:type="dxa"/>
            <w:shd w:val="clear" w:color="auto" w:fill="FFFFFF"/>
          </w:tcPr>
          <w:p w:rsidR="005E58D7" w:rsidRPr="00E64288" w:rsidRDefault="003D799D"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1.5.5.</w:t>
            </w:r>
            <w:r w:rsidRPr="003D799D">
              <w:rPr>
                <w:rStyle w:val="Bodytext21"/>
                <w:rFonts w:ascii="Sylfaen" w:hAnsi="Sylfaen"/>
                <w:sz w:val="24"/>
                <w:szCs w:val="24"/>
              </w:rPr>
              <w:tab/>
            </w:r>
            <w:r w:rsidR="00EC2A2C" w:rsidRPr="00E64288">
              <w:rPr>
                <w:rStyle w:val="Bodytext21"/>
                <w:rFonts w:ascii="Sylfaen" w:hAnsi="Sylfaen"/>
                <w:sz w:val="24"/>
                <w:szCs w:val="24"/>
              </w:rPr>
              <w:t>Ավտոմոբիլային տրանսպորտով միջազգային փոխադրումների իրականացման</w:t>
            </w:r>
            <w:r w:rsidR="00AD2A01">
              <w:rPr>
                <w:rStyle w:val="Bodytext21"/>
                <w:rFonts w:ascii="Sylfaen" w:hAnsi="Sylfaen"/>
                <w:sz w:val="24"/>
                <w:szCs w:val="24"/>
              </w:rPr>
              <w:t xml:space="preserve"> </w:t>
            </w:r>
            <w:r w:rsidR="00EC2A2C" w:rsidRPr="00E64288">
              <w:rPr>
                <w:rStyle w:val="Bodytext21"/>
                <w:rFonts w:ascii="Sylfaen" w:hAnsi="Sylfaen"/>
                <w:sz w:val="24"/>
                <w:szCs w:val="24"/>
              </w:rPr>
              <w:t>թույլտվություն ստանալու մասով անդամ պետությունների նորմատիվ իրավական ակտերի եւ միջազգային փորձի վերլուծության կատարում, եզրակացության նախապատրաստում</w:t>
            </w:r>
          </w:p>
        </w:tc>
        <w:tc>
          <w:tcPr>
            <w:tcW w:w="2405" w:type="dxa"/>
            <w:shd w:val="clear" w:color="auto" w:fill="FFFFFF"/>
          </w:tcPr>
          <w:p w:rsidR="005E58D7" w:rsidRPr="00E64288" w:rsidRDefault="005E58D7" w:rsidP="005E74D1">
            <w:pPr>
              <w:tabs>
                <w:tab w:val="left" w:pos="851"/>
              </w:tabs>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եզրակացություն՝ վերլուծության արդյունքներով</w:t>
            </w:r>
          </w:p>
        </w:tc>
      </w:tr>
      <w:tr w:rsidR="008B4F9A" w:rsidRPr="00E64288" w:rsidTr="008B4F9A">
        <w:trPr>
          <w:jc w:val="center"/>
        </w:trPr>
        <w:tc>
          <w:tcPr>
            <w:tcW w:w="5427" w:type="dxa"/>
            <w:shd w:val="clear" w:color="auto" w:fill="FFFFFF"/>
          </w:tcPr>
          <w:p w:rsidR="005E58D7" w:rsidRPr="00E64288" w:rsidRDefault="003D799D"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1.5.6.</w:t>
            </w:r>
            <w:r w:rsidRPr="003D799D">
              <w:rPr>
                <w:rStyle w:val="Bodytext21"/>
                <w:rFonts w:ascii="Sylfaen" w:hAnsi="Sylfaen"/>
                <w:sz w:val="24"/>
                <w:szCs w:val="24"/>
              </w:rPr>
              <w:tab/>
            </w:r>
            <w:r w:rsidR="00EC2A2C" w:rsidRPr="00E64288">
              <w:rPr>
                <w:rStyle w:val="Bodytext21"/>
                <w:rFonts w:ascii="Sylfaen" w:hAnsi="Sylfaen"/>
                <w:sz w:val="24"/>
                <w:szCs w:val="24"/>
              </w:rPr>
              <w:t>Անդամ պետություններում էլեկտրոնային առեւտրի զարգացման մակարդակի վերլուծության կատարում, եզրակացության նախապատրաստում</w:t>
            </w:r>
          </w:p>
        </w:tc>
        <w:tc>
          <w:tcPr>
            <w:tcW w:w="2405" w:type="dxa"/>
            <w:shd w:val="clear" w:color="auto" w:fill="FFFFFF"/>
          </w:tcPr>
          <w:p w:rsidR="005E58D7" w:rsidRPr="00E64288" w:rsidRDefault="005E58D7" w:rsidP="005E74D1">
            <w:pPr>
              <w:tabs>
                <w:tab w:val="left" w:pos="851"/>
              </w:tabs>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 xml:space="preserve">եզրակացություն՝ վերլուծության արդյունքներով (հաշվի է առնվում մոտեցումների մոտարկման գերակա </w:t>
            </w:r>
            <w:r w:rsidRPr="00E64288">
              <w:rPr>
                <w:rFonts w:ascii="Sylfaen" w:hAnsi="Sylfaen"/>
                <w:sz w:val="24"/>
                <w:szCs w:val="24"/>
              </w:rPr>
              <w:lastRenderedPageBreak/>
              <w:t>ուղղությունները նախապատրաստելիս)</w:t>
            </w:r>
          </w:p>
        </w:tc>
      </w:tr>
      <w:tr w:rsidR="008B4F9A" w:rsidRPr="00E64288" w:rsidTr="008B4F9A">
        <w:trPr>
          <w:jc w:val="center"/>
        </w:trPr>
        <w:tc>
          <w:tcPr>
            <w:tcW w:w="5427" w:type="dxa"/>
            <w:shd w:val="clear" w:color="auto" w:fill="FFFFFF"/>
            <w:vAlign w:val="bottom"/>
          </w:tcPr>
          <w:p w:rsidR="005E58D7" w:rsidRPr="00E64288" w:rsidRDefault="003D799D"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1.5.7.</w:t>
            </w:r>
            <w:r w:rsidRPr="003D799D">
              <w:rPr>
                <w:rStyle w:val="Bodytext21"/>
                <w:rFonts w:ascii="Sylfaen" w:hAnsi="Sylfaen"/>
                <w:sz w:val="24"/>
                <w:szCs w:val="24"/>
              </w:rPr>
              <w:tab/>
            </w:r>
            <w:r w:rsidR="00EC2A2C" w:rsidRPr="00E64288">
              <w:rPr>
                <w:rStyle w:val="Bodytext21"/>
                <w:rFonts w:ascii="Sylfaen" w:hAnsi="Sylfaen"/>
                <w:sz w:val="24"/>
                <w:szCs w:val="24"/>
              </w:rPr>
              <w:t>Արտաքին առեւտրային պայմանագրով վճարում կատարելիս փաստաթղթերը վարկային կազմակերպություն ներկայացնելու պահանջները կանոնակարգող անդամ պետությունների նորմատիվ իրավական ակտերի վերլուծություն, եզրակացության նախապատրաստում</w:t>
            </w:r>
          </w:p>
        </w:tc>
        <w:tc>
          <w:tcPr>
            <w:tcW w:w="2405" w:type="dxa"/>
            <w:shd w:val="clear" w:color="auto" w:fill="FFFFFF"/>
          </w:tcPr>
          <w:p w:rsidR="005E58D7" w:rsidRPr="00E64288" w:rsidRDefault="005E58D7" w:rsidP="005E74D1">
            <w:pPr>
              <w:tabs>
                <w:tab w:val="left" w:pos="851"/>
              </w:tabs>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եզրակացություն՝ վերլուծության արդյունքներով</w:t>
            </w:r>
          </w:p>
        </w:tc>
      </w:tr>
      <w:tr w:rsidR="005E58D7" w:rsidRPr="00E64288" w:rsidTr="008B4F9A">
        <w:trPr>
          <w:jc w:val="center"/>
        </w:trPr>
        <w:tc>
          <w:tcPr>
            <w:tcW w:w="16051" w:type="dxa"/>
            <w:gridSpan w:val="5"/>
            <w:shd w:val="clear" w:color="auto" w:fill="FFFFFF"/>
            <w:vAlign w:val="bottom"/>
          </w:tcPr>
          <w:p w:rsidR="005E58D7" w:rsidRPr="00E64288" w:rsidRDefault="003D799D" w:rsidP="005E74D1">
            <w:pPr>
              <w:pStyle w:val="Bodytext20"/>
              <w:shd w:val="clear" w:color="auto" w:fill="auto"/>
              <w:tabs>
                <w:tab w:val="left" w:pos="851"/>
              </w:tabs>
              <w:spacing w:before="0" w:after="160" w:line="360" w:lineRule="auto"/>
              <w:ind w:left="112" w:right="116"/>
              <w:jc w:val="center"/>
              <w:rPr>
                <w:rFonts w:ascii="Sylfaen" w:hAnsi="Sylfaen"/>
                <w:sz w:val="24"/>
                <w:szCs w:val="24"/>
              </w:rPr>
            </w:pPr>
            <w:r>
              <w:rPr>
                <w:rStyle w:val="Bodytext21"/>
                <w:rFonts w:ascii="Sylfaen" w:hAnsi="Sylfaen"/>
                <w:sz w:val="24"/>
                <w:szCs w:val="24"/>
              </w:rPr>
              <w:t>2.</w:t>
            </w:r>
            <w:r w:rsidRPr="003D799D">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մեխանիզմների զարգացման հետ կապված մոտեցումների մոտարկում</w:t>
            </w:r>
          </w:p>
        </w:tc>
      </w:tr>
      <w:tr w:rsidR="008B4F9A" w:rsidRPr="00E64288" w:rsidTr="008B4F9A">
        <w:trPr>
          <w:jc w:val="center"/>
        </w:trPr>
        <w:tc>
          <w:tcPr>
            <w:tcW w:w="5427" w:type="dxa"/>
            <w:shd w:val="clear" w:color="auto" w:fill="FFFFFF"/>
            <w:vAlign w:val="bottom"/>
          </w:tcPr>
          <w:p w:rsidR="005E58D7" w:rsidRPr="00E64288" w:rsidRDefault="007F3252"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2.1</w:t>
            </w:r>
            <w:r w:rsidRPr="007F3252">
              <w:rPr>
                <w:rStyle w:val="Bodytext21"/>
                <w:rFonts w:ascii="Sylfaen" w:hAnsi="Sylfaen"/>
                <w:sz w:val="24"/>
                <w:szCs w:val="24"/>
              </w:rPr>
              <w:tab/>
            </w:r>
            <w:r w:rsidR="00EC2A2C" w:rsidRPr="00E64288">
              <w:rPr>
                <w:rStyle w:val="Bodytext21"/>
                <w:rFonts w:ascii="Sylfaen" w:hAnsi="Sylfaen"/>
                <w:sz w:val="24"/>
                <w:szCs w:val="24"/>
              </w:rPr>
              <w:t xml:space="preserve">«Մեկ պատուհանի» ազգային մեխանիզմների զարգացման հետ կապված </w:t>
            </w:r>
            <w:r w:rsidR="00EC2A2C" w:rsidRPr="00E64288">
              <w:rPr>
                <w:rStyle w:val="Bodytext21"/>
                <w:rFonts w:ascii="Sylfaen" w:hAnsi="Sylfaen"/>
                <w:sz w:val="24"/>
                <w:szCs w:val="24"/>
              </w:rPr>
              <w:lastRenderedPageBreak/>
              <w:t>մոտեցումների մոտարկման գերակա ուղղությունների սահմանում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lastRenderedPageBreak/>
              <w:t xml:space="preserve">կետ </w:t>
            </w:r>
            <w:r w:rsidRPr="00E64288">
              <w:rPr>
                <w:rStyle w:val="Bodytext23"/>
                <w:rFonts w:ascii="Sylfaen" w:hAnsi="Sylfaen"/>
                <w:sz w:val="24"/>
                <w:szCs w:val="24"/>
              </w:rPr>
              <w:t>2.1</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tcPr>
          <w:p w:rsidR="005E58D7" w:rsidRPr="00E64288" w:rsidRDefault="007F3252" w:rsidP="00123BE4">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2.1.1.</w:t>
            </w:r>
            <w:r w:rsidRPr="007F3252">
              <w:rPr>
                <w:rStyle w:val="Bodytext21"/>
                <w:rFonts w:ascii="Sylfaen" w:hAnsi="Sylfaen"/>
                <w:sz w:val="24"/>
                <w:szCs w:val="24"/>
              </w:rPr>
              <w:tab/>
            </w:r>
            <w:r w:rsidR="00EC2A2C" w:rsidRPr="00E64288">
              <w:rPr>
                <w:rStyle w:val="Bodytext21"/>
                <w:rFonts w:ascii="Sylfaen" w:hAnsi="Sylfaen"/>
                <w:sz w:val="24"/>
                <w:szCs w:val="24"/>
              </w:rPr>
              <w:t xml:space="preserve">Անդամ պետություններում էլեկտրոնային առեւտրի զարգացման հետ կապված մոտեցումների մոտարկման գերակա ուղղությունների սահմանում՝ կատարված վերլուծության արդյունքներով նախապատրաստված եզրակացության հիման վրա (սույն </w:t>
            </w:r>
            <w:r w:rsidR="00FE5EB2" w:rsidRPr="00E64288">
              <w:rPr>
                <w:rStyle w:val="Bodytext21"/>
                <w:rFonts w:ascii="Sylfaen" w:hAnsi="Sylfaen"/>
                <w:sz w:val="24"/>
                <w:szCs w:val="24"/>
              </w:rPr>
              <w:t>պ</w:t>
            </w:r>
            <w:r w:rsidR="00EC2A2C" w:rsidRPr="00E64288">
              <w:rPr>
                <w:rStyle w:val="Bodytext21"/>
                <w:rFonts w:ascii="Sylfaen" w:hAnsi="Sylfaen"/>
                <w:sz w:val="24"/>
                <w:szCs w:val="24"/>
              </w:rPr>
              <w:t>լանի 1.5.6 կետ)</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գերակա ուղղությունների սահմանման հետ կապված աշխատանքների ընթացքի վերաբերյալ հաշվետվություն</w:t>
            </w:r>
          </w:p>
        </w:tc>
      </w:tr>
      <w:tr w:rsidR="005E58D7" w:rsidRPr="00E64288" w:rsidTr="008B4F9A">
        <w:trPr>
          <w:jc w:val="center"/>
        </w:trPr>
        <w:tc>
          <w:tcPr>
            <w:tcW w:w="16051" w:type="dxa"/>
            <w:gridSpan w:val="5"/>
            <w:shd w:val="clear" w:color="auto" w:fill="FFFFFF"/>
            <w:vAlign w:val="bottom"/>
          </w:tcPr>
          <w:p w:rsidR="005E58D7" w:rsidRPr="00E64288" w:rsidRDefault="007F3252" w:rsidP="005E74D1">
            <w:pPr>
              <w:pStyle w:val="Bodytext20"/>
              <w:shd w:val="clear" w:color="auto" w:fill="auto"/>
              <w:tabs>
                <w:tab w:val="left" w:pos="851"/>
              </w:tabs>
              <w:spacing w:before="0" w:after="160" w:line="360" w:lineRule="auto"/>
              <w:ind w:left="112" w:right="116"/>
              <w:jc w:val="center"/>
              <w:rPr>
                <w:rFonts w:ascii="Sylfaen" w:hAnsi="Sylfaen"/>
                <w:sz w:val="24"/>
                <w:szCs w:val="24"/>
              </w:rPr>
            </w:pPr>
            <w:r>
              <w:rPr>
                <w:rStyle w:val="Bodytext21"/>
                <w:rFonts w:ascii="Sylfaen" w:hAnsi="Sylfaen"/>
                <w:sz w:val="24"/>
                <w:szCs w:val="24"/>
              </w:rPr>
              <w:t>3.</w:t>
            </w:r>
            <w:r w:rsidR="00EC2A2C" w:rsidRPr="00E64288">
              <w:rPr>
                <w:rStyle w:val="Bodytext21"/>
                <w:rFonts w:ascii="Sylfaen" w:hAnsi="Sylfaen"/>
                <w:sz w:val="24"/>
                <w:szCs w:val="24"/>
              </w:rPr>
              <w:t>Արտաքին տնտեսական գործունեություն իրականացնելու համար անհրաժեշտ էլեկտրոնային փաստաթղթերի փոխադարձ ճանաչում</w:t>
            </w:r>
          </w:p>
        </w:tc>
      </w:tr>
      <w:tr w:rsidR="008B4F9A" w:rsidRPr="00E64288" w:rsidTr="008B4F9A">
        <w:trPr>
          <w:jc w:val="center"/>
        </w:trPr>
        <w:tc>
          <w:tcPr>
            <w:tcW w:w="5427" w:type="dxa"/>
            <w:shd w:val="clear" w:color="auto" w:fill="FFFFFF"/>
            <w:vAlign w:val="bottom"/>
          </w:tcPr>
          <w:p w:rsidR="005E58D7" w:rsidRPr="00E64288" w:rsidRDefault="007F3252"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3.1.</w:t>
            </w:r>
            <w:r w:rsidRPr="007F3252">
              <w:rPr>
                <w:rStyle w:val="Bodytext21"/>
                <w:rFonts w:ascii="Sylfaen" w:hAnsi="Sylfaen"/>
                <w:sz w:val="24"/>
                <w:szCs w:val="24"/>
              </w:rPr>
              <w:tab/>
            </w:r>
            <w:r w:rsidR="00EC2A2C" w:rsidRPr="00E64288">
              <w:rPr>
                <w:rStyle w:val="Bodytext21"/>
                <w:rFonts w:ascii="Sylfaen" w:hAnsi="Sylfaen"/>
                <w:sz w:val="24"/>
                <w:szCs w:val="24"/>
              </w:rPr>
              <w:t xml:space="preserve">Արտաքին տնտեսական գործունեություն իրականացնելու համար </w:t>
            </w:r>
            <w:r w:rsidR="00EC2A2C" w:rsidRPr="00E64288">
              <w:rPr>
                <w:rStyle w:val="Bodytext21"/>
                <w:rFonts w:ascii="Sylfaen" w:hAnsi="Sylfaen"/>
                <w:sz w:val="24"/>
                <w:szCs w:val="24"/>
              </w:rPr>
              <w:lastRenderedPageBreak/>
              <w:t>անհրաժեշտ փաստաթղթերի ու տեղեկությունների վերլուծություն եւ Միության իրավունքի մաս կազմող ակտերում եւ անդամ պետությունների օրենսդրության մեջ փոփոխություններ կատարելու անհրաժեշտության գնահատում՝ փաստաթղթերում պարունակվող տեղեկությունների միասնականացման եւ ներդաշնակեցման նպատակով</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Fonts w:ascii="Sylfaen" w:hAnsi="Sylfaen"/>
                <w:sz w:val="24"/>
                <w:szCs w:val="24"/>
              </w:rPr>
              <w:lastRenderedPageBreak/>
              <w:t>կետ 3.1</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5E58D7" w:rsidP="005E74D1">
            <w:pPr>
              <w:pStyle w:val="Bodytext20"/>
              <w:shd w:val="clear" w:color="auto" w:fill="auto"/>
              <w:tabs>
                <w:tab w:val="left" w:pos="851"/>
              </w:tabs>
              <w:spacing w:before="0" w:after="160" w:line="360" w:lineRule="auto"/>
              <w:ind w:left="112" w:right="116"/>
              <w:jc w:val="left"/>
              <w:rPr>
                <w:rFonts w:ascii="Sylfaen" w:hAnsi="Sylfaen"/>
                <w:sz w:val="24"/>
                <w:szCs w:val="24"/>
              </w:rPr>
            </w:pP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7F3252" w:rsidP="00CB4987">
            <w:pPr>
              <w:pStyle w:val="Bodytext20"/>
              <w:shd w:val="clear" w:color="auto" w:fill="auto"/>
              <w:tabs>
                <w:tab w:val="left" w:pos="851"/>
              </w:tabs>
              <w:spacing w:before="0" w:after="160" w:line="336" w:lineRule="auto"/>
              <w:ind w:left="590" w:right="113"/>
              <w:jc w:val="left"/>
              <w:rPr>
                <w:rFonts w:ascii="Sylfaen" w:hAnsi="Sylfaen"/>
                <w:sz w:val="24"/>
                <w:szCs w:val="24"/>
              </w:rPr>
            </w:pPr>
            <w:r>
              <w:rPr>
                <w:rStyle w:val="Bodytext21"/>
                <w:rFonts w:ascii="Sylfaen" w:hAnsi="Sylfaen"/>
                <w:sz w:val="24"/>
                <w:szCs w:val="24"/>
              </w:rPr>
              <w:t>3.1.1.</w:t>
            </w:r>
            <w:r w:rsidRPr="007F3252">
              <w:rPr>
                <w:rStyle w:val="Bodytext21"/>
                <w:rFonts w:ascii="Sylfaen" w:hAnsi="Sylfaen"/>
                <w:sz w:val="24"/>
                <w:szCs w:val="24"/>
              </w:rPr>
              <w:tab/>
            </w:r>
            <w:r w:rsidR="00EC2A2C" w:rsidRPr="00E64288">
              <w:rPr>
                <w:rStyle w:val="Bodytext21"/>
                <w:rFonts w:ascii="Sylfaen" w:hAnsi="Sylfaen"/>
                <w:sz w:val="24"/>
                <w:szCs w:val="24"/>
              </w:rPr>
              <w:t xml:space="preserve">Եզրակացությունների նախապատրաստում՝ արտաքին տնտեսական գործունեություն իրականացնելու համար անհրաժեշտ </w:t>
            </w:r>
            <w:r w:rsidR="00EC2A2C" w:rsidRPr="00E64288">
              <w:rPr>
                <w:rStyle w:val="Bodytext21"/>
                <w:rFonts w:ascii="Sylfaen" w:hAnsi="Sylfaen"/>
                <w:sz w:val="24"/>
                <w:szCs w:val="24"/>
              </w:rPr>
              <w:lastRenderedPageBreak/>
              <w:t xml:space="preserve">փաստաթղթերի ու տեղեկությունների վերլուծության մեթոդական մոտեցումներին համապատասխան կատարված վերլուծության, նշված փաստաթղթերում պարունակվող տեղեկությունների միասնականացման եւ ներդաշնակեցման աստիճանի ու հնարավորության գնահատման, ինչպես նաեւ Եվրասիական տնտեսական հանձնաժողովի կոլեգիայի 2015 թվականի նոյեմբերի 17-ի թիվ 151 որոշմամբ հաստատված էլեկտրոնային փաստաթղթերի ձեւակերպման հնարավորության գնահատման արդյունքներով </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մայիս**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եզրակացություններ, ամփոփիչ հաշվետվություն</w:t>
            </w:r>
          </w:p>
        </w:tc>
      </w:tr>
      <w:tr w:rsidR="008B4F9A" w:rsidRPr="00E64288" w:rsidTr="008B4F9A">
        <w:trPr>
          <w:jc w:val="center"/>
        </w:trPr>
        <w:tc>
          <w:tcPr>
            <w:tcW w:w="5427" w:type="dxa"/>
            <w:shd w:val="clear" w:color="auto" w:fill="FFFFFF"/>
            <w:vAlign w:val="bottom"/>
          </w:tcPr>
          <w:p w:rsidR="005E58D7" w:rsidRPr="00E64288" w:rsidRDefault="007F3252"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lastRenderedPageBreak/>
              <w:t>3.2.</w:t>
            </w:r>
            <w:r w:rsidRPr="007F3252">
              <w:rPr>
                <w:rStyle w:val="Bodytext21"/>
                <w:rFonts w:ascii="Sylfaen" w:hAnsi="Sylfaen"/>
                <w:sz w:val="24"/>
                <w:szCs w:val="24"/>
              </w:rPr>
              <w:tab/>
            </w:r>
            <w:r w:rsidR="00EC2A2C" w:rsidRPr="00E64288">
              <w:rPr>
                <w:rStyle w:val="Bodytext21"/>
                <w:rFonts w:ascii="Sylfaen" w:hAnsi="Sylfaen"/>
                <w:sz w:val="24"/>
                <w:szCs w:val="24"/>
              </w:rPr>
              <w:t>Արտաքին տնտեսական գործունեություն իրականացնելու համար անհրաժեշտ փաստաթղթերում, ինչպես նաեւ Միության տարածքում ձեւակերպվող էլեկտրոնային փաստաթղթերում պարունակվող տեղեկությունների միասնականացում եւ ներդաշնակեցում՝ դրանց փոխադարձ ճանաչման նպատակով</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3.2</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7F3252" w:rsidP="00CB4987">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3.1.2.</w:t>
            </w:r>
            <w:r w:rsidRPr="007F3252">
              <w:rPr>
                <w:rStyle w:val="Bodytext21"/>
                <w:rFonts w:ascii="Sylfaen" w:hAnsi="Sylfaen"/>
                <w:sz w:val="24"/>
                <w:szCs w:val="24"/>
              </w:rPr>
              <w:tab/>
            </w:r>
            <w:r w:rsidR="00EC2A2C" w:rsidRPr="00E64288">
              <w:rPr>
                <w:rStyle w:val="Bodytext21"/>
                <w:rFonts w:ascii="Sylfaen" w:hAnsi="Sylfaen"/>
                <w:sz w:val="24"/>
                <w:szCs w:val="24"/>
              </w:rPr>
              <w:t>Արտաքին տնտեսական գործունեություն իրականացնելու համար անհրաժեշտ տեղեկությունների ներդաշնակեցման համար հիմքի ձեւավորում</w:t>
            </w:r>
            <w:r w:rsidR="00C27349" w:rsidRPr="00E64288">
              <w:rPr>
                <w:rStyle w:val="Bodytext21"/>
                <w:rFonts w:ascii="Sylfaen" w:hAnsi="Sylfaen"/>
                <w:sz w:val="24"/>
                <w:szCs w:val="24"/>
              </w:rPr>
              <w:t>՝</w:t>
            </w:r>
            <w:r w:rsidR="00EC2A2C" w:rsidRPr="00E64288">
              <w:rPr>
                <w:rStyle w:val="Bodytext21"/>
                <w:rFonts w:ascii="Sylfaen" w:hAnsi="Sylfaen"/>
                <w:sz w:val="24"/>
                <w:szCs w:val="24"/>
              </w:rPr>
              <w:t xml:space="preserve"> Միության տվյալների մոդելի զարգացման շրջանակներում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մարմնի ակտի նախագիծ</w:t>
            </w:r>
          </w:p>
        </w:tc>
      </w:tr>
      <w:tr w:rsidR="008B4F9A" w:rsidRPr="00E64288" w:rsidTr="008B4F9A">
        <w:trPr>
          <w:jc w:val="center"/>
        </w:trPr>
        <w:tc>
          <w:tcPr>
            <w:tcW w:w="5427" w:type="dxa"/>
            <w:shd w:val="clear" w:color="auto" w:fill="FFFFFF"/>
            <w:vAlign w:val="bottom"/>
          </w:tcPr>
          <w:p w:rsidR="005E58D7" w:rsidRPr="00E64288" w:rsidRDefault="007F3252" w:rsidP="00CB4987">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3.2.2.</w:t>
            </w:r>
            <w:r w:rsidRPr="007F3252">
              <w:rPr>
                <w:rStyle w:val="Bodytext21"/>
                <w:rFonts w:ascii="Sylfaen" w:hAnsi="Sylfaen"/>
                <w:sz w:val="24"/>
                <w:szCs w:val="24"/>
              </w:rPr>
              <w:tab/>
            </w:r>
            <w:r w:rsidR="00EC2A2C" w:rsidRPr="00E64288">
              <w:rPr>
                <w:rStyle w:val="Bodytext21"/>
                <w:rFonts w:ascii="Sylfaen" w:hAnsi="Sylfaen"/>
                <w:sz w:val="24"/>
                <w:szCs w:val="24"/>
              </w:rPr>
              <w:t>Ապրանքների հայտարարագրի ներկայացման համար անհրաժեշտ փաստաթղթերում պարունակվող տեղեկությունների ներդաշնակեցման վերաբերյալ առաջարկների նախապատրաստում</w:t>
            </w:r>
            <w:r w:rsidR="00C27349" w:rsidRPr="00E64288">
              <w:rPr>
                <w:rStyle w:val="Bodytext21"/>
                <w:rFonts w:ascii="Sylfaen" w:hAnsi="Sylfaen"/>
                <w:sz w:val="24"/>
                <w:szCs w:val="24"/>
              </w:rPr>
              <w:t>՝</w:t>
            </w:r>
            <w:r w:rsidR="00EC2A2C" w:rsidRPr="00E64288">
              <w:rPr>
                <w:rStyle w:val="Bodytext21"/>
                <w:rFonts w:ascii="Sylfaen" w:hAnsi="Sylfaen"/>
                <w:sz w:val="24"/>
                <w:szCs w:val="24"/>
              </w:rPr>
              <w:t xml:space="preserve"> առանձին մաքսային ընթացակարգերի շրջանակներում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մարմնի ակտի նախագիծ</w:t>
            </w:r>
          </w:p>
        </w:tc>
      </w:tr>
      <w:tr w:rsidR="008B4F9A" w:rsidRPr="00E64288" w:rsidTr="008B4F9A">
        <w:trPr>
          <w:jc w:val="center"/>
        </w:trPr>
        <w:tc>
          <w:tcPr>
            <w:tcW w:w="5427" w:type="dxa"/>
            <w:shd w:val="clear" w:color="auto" w:fill="FFFFFF"/>
            <w:vAlign w:val="bottom"/>
          </w:tcPr>
          <w:p w:rsidR="005E58D7" w:rsidRPr="00E64288" w:rsidRDefault="00EC2A2C" w:rsidP="00CB4987">
            <w:pPr>
              <w:pStyle w:val="Bodytext20"/>
              <w:shd w:val="clear" w:color="auto" w:fill="auto"/>
              <w:tabs>
                <w:tab w:val="left" w:pos="851"/>
              </w:tabs>
              <w:spacing w:before="0" w:after="160" w:line="360" w:lineRule="auto"/>
              <w:ind w:left="592" w:right="116"/>
              <w:jc w:val="left"/>
              <w:rPr>
                <w:rFonts w:ascii="Sylfaen" w:hAnsi="Sylfaen"/>
                <w:sz w:val="24"/>
                <w:szCs w:val="24"/>
              </w:rPr>
            </w:pPr>
            <w:r w:rsidRPr="00E64288">
              <w:rPr>
                <w:rStyle w:val="Bodytext21"/>
                <w:rFonts w:ascii="Sylfaen" w:hAnsi="Sylfaen"/>
                <w:sz w:val="24"/>
                <w:szCs w:val="24"/>
              </w:rPr>
              <w:t>3.2.3.</w:t>
            </w:r>
            <w:r w:rsidR="007F3252" w:rsidRPr="007F3252">
              <w:rPr>
                <w:rStyle w:val="Bodytext21"/>
                <w:rFonts w:ascii="Sylfaen" w:hAnsi="Sylfaen"/>
                <w:sz w:val="24"/>
                <w:szCs w:val="24"/>
              </w:rPr>
              <w:tab/>
            </w:r>
            <w:r w:rsidRPr="00E64288">
              <w:rPr>
                <w:rFonts w:ascii="Sylfaen" w:hAnsi="Sylfaen"/>
                <w:sz w:val="24"/>
                <w:szCs w:val="24"/>
              </w:rPr>
              <w:t xml:space="preserve">Անդամ պետություններում կիրառվող եւ փոխադարձաբար ճանաչվող փաստաթղթերի էլեկտրոնային տեսակներին (էլեկտրոնային փաստաթղթերին), էլեկտրոնային տեսքով դրանց կառուցվածքներին ու ձեւաչափերին ներկայացվող </w:t>
            </w:r>
            <w:r w:rsidRPr="00E64288">
              <w:rPr>
                <w:rFonts w:ascii="Sylfaen" w:hAnsi="Sylfaen"/>
                <w:sz w:val="24"/>
                <w:szCs w:val="24"/>
              </w:rPr>
              <w:lastRenderedPageBreak/>
              <w:t>միասնականացված պահանջների մշակում՝ «մեկ պատուհանի» ազգային մեխանիզմների գործունեության շրջանակներում Եվրասիական տնտեսական միության անդամ պետությունների պետական մարմինների եւ (կամ) լիազոր կազմակերպությունների հետ շահագրգիռ անձանց փոխգործակցության՝ միասնականցման համար առաջնահերթ ընթացակարգերի այն ցանկով սահմանված B2G</w:t>
            </w:r>
            <w:r w:rsidRPr="00E64288">
              <w:rPr>
                <w:rFonts w:ascii="Sylfaen" w:hAnsi="Sylfaen"/>
                <w:sz w:val="24"/>
                <w:szCs w:val="24"/>
                <w:highlight w:val="yellow"/>
              </w:rPr>
              <w:t xml:space="preserve"> </w:t>
            </w:r>
            <w:r w:rsidR="008A48AD" w:rsidRPr="00E64288">
              <w:rPr>
                <w:rFonts w:ascii="Sylfaen" w:hAnsi="Sylfaen"/>
                <w:sz w:val="24"/>
                <w:szCs w:val="24"/>
              </w:rPr>
              <w:t>ընտրողական</w:t>
            </w:r>
            <w:r w:rsidRPr="00E64288">
              <w:rPr>
                <w:rFonts w:ascii="Sylfaen" w:hAnsi="Sylfaen"/>
                <w:sz w:val="24"/>
                <w:szCs w:val="24"/>
              </w:rPr>
              <w:t xml:space="preserve"> ընթացակարգի համար, որը հաստատվել է Եվրասիական տնտեսական հանձնաժողովի կոլեգիայի 2015 թվականի </w:t>
            </w:r>
            <w:r w:rsidRPr="00E64288">
              <w:rPr>
                <w:rFonts w:ascii="Sylfaen" w:hAnsi="Sylfaen"/>
                <w:sz w:val="24"/>
                <w:szCs w:val="24"/>
              </w:rPr>
              <w:lastRenderedPageBreak/>
              <w:t>դեկտեմբերի 22-ի թիվ 171 որոշմամբ (այսուհետ՝ ցանկ)՝ յուրաքանչյուր բլոկի մասով առանձին</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մարմինների ակտերի նախագծեր</w:t>
            </w:r>
          </w:p>
        </w:tc>
      </w:tr>
      <w:tr w:rsidR="008B4F9A" w:rsidRPr="00E64288" w:rsidTr="008B4F9A">
        <w:trPr>
          <w:jc w:val="center"/>
        </w:trPr>
        <w:tc>
          <w:tcPr>
            <w:tcW w:w="5427" w:type="dxa"/>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sidRPr="00E64288">
              <w:rPr>
                <w:rStyle w:val="Bodytext21"/>
                <w:rFonts w:ascii="Sylfaen" w:hAnsi="Sylfaen"/>
                <w:sz w:val="24"/>
                <w:szCs w:val="24"/>
              </w:rPr>
              <w:lastRenderedPageBreak/>
              <w:t>3.3. Անցում արտաքին տնտեսական գործունեություն իրականացնելու համար անհրաժեշտ էլեկտրոնային փաստաթղթերն անդամ պետությունների լիազոր մարմինների կողմից ձեւակերպելուն եւ օգտագործելուն</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3.3</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tcPr>
          <w:p w:rsidR="005E58D7" w:rsidRPr="00E64288" w:rsidRDefault="00E2631C" w:rsidP="002D3573">
            <w:pPr>
              <w:pStyle w:val="Bodytext20"/>
              <w:shd w:val="clear" w:color="auto" w:fill="auto"/>
              <w:tabs>
                <w:tab w:val="left" w:pos="851"/>
              </w:tabs>
              <w:spacing w:before="0" w:after="160" w:line="384" w:lineRule="auto"/>
              <w:ind w:left="590" w:right="113"/>
              <w:jc w:val="left"/>
              <w:rPr>
                <w:rFonts w:ascii="Sylfaen" w:hAnsi="Sylfaen"/>
                <w:sz w:val="24"/>
                <w:szCs w:val="24"/>
              </w:rPr>
            </w:pPr>
            <w:r>
              <w:rPr>
                <w:rStyle w:val="Bodytext21"/>
                <w:rFonts w:ascii="Sylfaen" w:hAnsi="Sylfaen"/>
                <w:sz w:val="24"/>
                <w:szCs w:val="24"/>
              </w:rPr>
              <w:t>3.3.1.</w:t>
            </w:r>
            <w:r w:rsidRPr="00E2631C">
              <w:rPr>
                <w:rStyle w:val="Bodytext21"/>
                <w:rFonts w:ascii="Sylfaen" w:hAnsi="Sylfaen"/>
                <w:sz w:val="24"/>
                <w:szCs w:val="24"/>
              </w:rPr>
              <w:tab/>
            </w:r>
            <w:r w:rsidR="00EC2A2C" w:rsidRPr="00E64288">
              <w:rPr>
                <w:rStyle w:val="Bodytext21"/>
                <w:rFonts w:ascii="Sylfaen" w:hAnsi="Sylfaen"/>
                <w:sz w:val="24"/>
                <w:szCs w:val="24"/>
              </w:rPr>
              <w:t xml:space="preserve">Արտաքին տնտեսական գործունեություն իրականացնելու համար անհրաժեշտ էլեկտրոնային փաստաթղթերի ձեւաչափի եւ կառուցվածքների հաստատման մասին </w:t>
            </w:r>
            <w:r w:rsidR="00EC2A2C" w:rsidRPr="00E64288">
              <w:rPr>
                <w:rStyle w:val="Bodytext21"/>
                <w:rFonts w:ascii="Sylfaen" w:hAnsi="Sylfaen"/>
                <w:sz w:val="24"/>
                <w:szCs w:val="24"/>
              </w:rPr>
              <w:lastRenderedPageBreak/>
              <w:t>դրույթների ամրագրում</w:t>
            </w:r>
            <w:r w:rsidR="00C27349" w:rsidRPr="00E64288">
              <w:rPr>
                <w:rStyle w:val="Bodytext21"/>
                <w:rFonts w:ascii="Sylfaen" w:hAnsi="Sylfaen"/>
                <w:sz w:val="24"/>
                <w:szCs w:val="24"/>
              </w:rPr>
              <w:t>՝</w:t>
            </w:r>
            <w:r w:rsidR="00EC2A2C" w:rsidRPr="00E64288">
              <w:rPr>
                <w:rStyle w:val="Bodytext21"/>
                <w:rFonts w:ascii="Sylfaen" w:hAnsi="Sylfaen"/>
                <w:sz w:val="24"/>
                <w:szCs w:val="24"/>
              </w:rPr>
              <w:t xml:space="preserve"> Միության իրավունքի մաս կազմող ակտերում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rPr>
                <w:rFonts w:ascii="Sylfaen" w:hAnsi="Sylfaen"/>
                <w:sz w:val="24"/>
                <w:szCs w:val="24"/>
              </w:rPr>
            </w:pPr>
            <w:r w:rsidRPr="00E64288">
              <w:rPr>
                <w:rStyle w:val="Bodytext21"/>
                <w:rFonts w:ascii="Sylfaen" w:hAnsi="Sylfaen"/>
                <w:sz w:val="24"/>
                <w:szCs w:val="24"/>
              </w:rPr>
              <w:t>միջազգային պայմանագրի նախագիծ, Միության մարմինների ակտերի նախագծեր</w:t>
            </w:r>
          </w:p>
        </w:tc>
      </w:tr>
      <w:tr w:rsidR="008B4F9A" w:rsidRPr="00E64288" w:rsidTr="008B4F9A">
        <w:trPr>
          <w:jc w:val="center"/>
        </w:trPr>
        <w:tc>
          <w:tcPr>
            <w:tcW w:w="5427" w:type="dxa"/>
            <w:shd w:val="clear" w:color="auto" w:fill="FFFFFF"/>
          </w:tcPr>
          <w:p w:rsidR="005E58D7" w:rsidRPr="00E64288" w:rsidRDefault="00E2631C" w:rsidP="00A9546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3.3.2.</w:t>
            </w:r>
            <w:r w:rsidRPr="003B3650">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մեխանիզմների զարգացման վրա ազդեցություն ունեցող՝ արտաքին տնտեսական գործունեություն իրականացնելու համար անհրաժեշտ փաստաթղթերի ձեւակերպման եւ օգտագործման հետ կապված՝ Միության իրավունքի մաս կազմող ակտերի նախագծերի համաձայնեցումը համակարգելու կարգի սահմանում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հունվար**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rPr>
                <w:rFonts w:ascii="Sylfaen" w:hAnsi="Sylfaen"/>
                <w:sz w:val="24"/>
                <w:szCs w:val="24"/>
              </w:rPr>
            </w:pPr>
            <w:r w:rsidRPr="00E64288">
              <w:rPr>
                <w:rStyle w:val="Bodytext21"/>
                <w:rFonts w:ascii="Sylfaen" w:hAnsi="Sylfaen"/>
                <w:sz w:val="24"/>
                <w:szCs w:val="24"/>
              </w:rPr>
              <w:t>Միության մարմնի ակտ</w:t>
            </w:r>
          </w:p>
        </w:tc>
      </w:tr>
      <w:tr w:rsidR="008B4F9A" w:rsidRPr="00E64288" w:rsidTr="008B4F9A">
        <w:trPr>
          <w:jc w:val="center"/>
        </w:trPr>
        <w:tc>
          <w:tcPr>
            <w:tcW w:w="5427" w:type="dxa"/>
            <w:shd w:val="clear" w:color="auto" w:fill="FFFFFF"/>
            <w:vAlign w:val="bottom"/>
          </w:tcPr>
          <w:p w:rsidR="005E58D7" w:rsidRPr="00E64288" w:rsidRDefault="002F5606" w:rsidP="00A9546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3.3.3.</w:t>
            </w:r>
            <w:r w:rsidRPr="002F5606">
              <w:rPr>
                <w:rStyle w:val="Bodytext21"/>
                <w:rFonts w:ascii="Sylfaen" w:hAnsi="Sylfaen"/>
                <w:sz w:val="24"/>
                <w:szCs w:val="24"/>
              </w:rPr>
              <w:tab/>
            </w:r>
            <w:r w:rsidR="00EC2A2C" w:rsidRPr="00E64288">
              <w:rPr>
                <w:rStyle w:val="Bodytext21"/>
                <w:rFonts w:ascii="Sylfaen" w:hAnsi="Sylfaen"/>
                <w:sz w:val="24"/>
                <w:szCs w:val="24"/>
              </w:rPr>
              <w:t xml:space="preserve">Ապրանքների առանձին տեսակների արտահանման եւ (կամ) </w:t>
            </w:r>
            <w:r w:rsidR="00EC2A2C" w:rsidRPr="00E64288">
              <w:rPr>
                <w:rStyle w:val="Bodytext21"/>
                <w:rFonts w:ascii="Sylfaen" w:hAnsi="Sylfaen"/>
                <w:sz w:val="24"/>
                <w:szCs w:val="24"/>
              </w:rPr>
              <w:lastRenderedPageBreak/>
              <w:t>ներմուծման լիցենզիա ստանալու համար փաստաթղթերի ձեւակերպման եւ օգտագործման հետ կապված՝ անդամ պետությունների նորմատիվ իրավական ակտերի արդիականացում՝ էլեկտրոնային փաստաթղթաշրջանառությանը անցում կատարելու համար պայմանների ստեղծման նպատակով</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rPr>
                <w:rFonts w:ascii="Sylfaen" w:hAnsi="Sylfaen"/>
                <w:sz w:val="24"/>
                <w:szCs w:val="24"/>
              </w:rPr>
            </w:pPr>
            <w:r w:rsidRPr="00E64288">
              <w:rPr>
                <w:rStyle w:val="Bodytext21"/>
                <w:rFonts w:ascii="Sylfaen" w:hAnsi="Sylfaen"/>
                <w:sz w:val="24"/>
                <w:szCs w:val="24"/>
              </w:rPr>
              <w:t xml:space="preserve">անդամ պետությունների </w:t>
            </w:r>
            <w:r w:rsidRPr="00E64288">
              <w:rPr>
                <w:rStyle w:val="Bodytext21"/>
                <w:rFonts w:ascii="Sylfaen" w:hAnsi="Sylfaen"/>
                <w:sz w:val="24"/>
                <w:szCs w:val="24"/>
              </w:rPr>
              <w:lastRenderedPageBreak/>
              <w:t>ակտեր</w:t>
            </w:r>
          </w:p>
        </w:tc>
      </w:tr>
      <w:tr w:rsidR="008B4F9A" w:rsidRPr="00E64288" w:rsidTr="008B4F9A">
        <w:trPr>
          <w:jc w:val="center"/>
        </w:trPr>
        <w:tc>
          <w:tcPr>
            <w:tcW w:w="5427" w:type="dxa"/>
            <w:shd w:val="clear" w:color="auto" w:fill="FFFFFF"/>
            <w:vAlign w:val="bottom"/>
          </w:tcPr>
          <w:p w:rsidR="005E58D7" w:rsidRPr="00E64288" w:rsidRDefault="005E58D7" w:rsidP="00A9546D">
            <w:pPr>
              <w:pStyle w:val="Bodytext20"/>
              <w:shd w:val="clear" w:color="auto" w:fill="auto"/>
              <w:tabs>
                <w:tab w:val="left" w:pos="851"/>
              </w:tabs>
              <w:spacing w:before="0" w:after="160" w:line="360" w:lineRule="auto"/>
              <w:ind w:left="592" w:right="116"/>
              <w:jc w:val="left"/>
              <w:rPr>
                <w:rFonts w:ascii="Sylfaen" w:hAnsi="Sylfaen"/>
                <w:sz w:val="24"/>
                <w:szCs w:val="24"/>
              </w:rPr>
            </w:pP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2F5606" w:rsidP="00A9546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3.3.4.</w:t>
            </w:r>
            <w:r w:rsidRPr="002F5606">
              <w:rPr>
                <w:rStyle w:val="Bodytext21"/>
                <w:rFonts w:ascii="Sylfaen" w:hAnsi="Sylfaen"/>
                <w:sz w:val="24"/>
                <w:szCs w:val="24"/>
              </w:rPr>
              <w:tab/>
            </w:r>
            <w:r w:rsidR="00EC2A2C" w:rsidRPr="00E64288">
              <w:rPr>
                <w:rStyle w:val="Bodytext21"/>
                <w:rFonts w:ascii="Sylfaen" w:hAnsi="Sylfaen"/>
                <w:sz w:val="24"/>
                <w:szCs w:val="24"/>
              </w:rPr>
              <w:t xml:space="preserve">Ապրանքների հայտարարագիր ներկայացնելու համար անհրաժեշտ փաստաթղթերի ձեւակերպման եւ օգտագործման հետ կապված՝ անդամ պետությունների այն նորմատիվ </w:t>
            </w:r>
            <w:r w:rsidR="00EC2A2C" w:rsidRPr="00E64288">
              <w:rPr>
                <w:rStyle w:val="Bodytext21"/>
                <w:rFonts w:ascii="Sylfaen" w:hAnsi="Sylfaen"/>
                <w:sz w:val="24"/>
                <w:szCs w:val="24"/>
              </w:rPr>
              <w:lastRenderedPageBreak/>
              <w:t>իրավական ակտերի ցանկի նախապատրաստում, որոնցում անհրաժեշտ է կատարել փոփոխություններ, որոնք թույլ կտան էլեկտրոնային փաստաթղթաշրջանառության</w:t>
            </w:r>
            <w:r w:rsidR="00C27349" w:rsidRPr="00E64288">
              <w:rPr>
                <w:rStyle w:val="Bodytext21"/>
                <w:rFonts w:ascii="Sylfaen" w:hAnsi="Sylfaen"/>
                <w:sz w:val="24"/>
                <w:szCs w:val="24"/>
              </w:rPr>
              <w:t>ն</w:t>
            </w:r>
            <w:r w:rsidR="00EC2A2C" w:rsidRPr="00E64288">
              <w:rPr>
                <w:rStyle w:val="Bodytext21"/>
                <w:rFonts w:ascii="Sylfaen" w:hAnsi="Sylfaen"/>
                <w:sz w:val="24"/>
                <w:szCs w:val="24"/>
              </w:rPr>
              <w:t xml:space="preserve"> անցում կատարելու համար պայմաններ ստեղծել</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անդամ պետություններ, Հանձնաժողով</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մարմնի ակտի նախագիծ</w:t>
            </w:r>
          </w:p>
        </w:tc>
      </w:tr>
      <w:tr w:rsidR="008B4F9A" w:rsidRPr="00E64288" w:rsidTr="008B4F9A">
        <w:trPr>
          <w:jc w:val="center"/>
        </w:trPr>
        <w:tc>
          <w:tcPr>
            <w:tcW w:w="5427" w:type="dxa"/>
            <w:shd w:val="clear" w:color="auto" w:fill="FFFFFF"/>
            <w:vAlign w:val="bottom"/>
          </w:tcPr>
          <w:p w:rsidR="005E58D7" w:rsidRPr="00E64288" w:rsidRDefault="002F5606"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lastRenderedPageBreak/>
              <w:t>3.4.</w:t>
            </w:r>
            <w:r w:rsidRPr="002F5606">
              <w:rPr>
                <w:rStyle w:val="Bodytext21"/>
                <w:rFonts w:ascii="Sylfaen" w:hAnsi="Sylfaen"/>
                <w:sz w:val="24"/>
                <w:szCs w:val="24"/>
              </w:rPr>
              <w:tab/>
            </w:r>
            <w:r w:rsidR="00EC2A2C" w:rsidRPr="00E64288">
              <w:rPr>
                <w:rStyle w:val="Bodytext21"/>
                <w:rFonts w:ascii="Sylfaen" w:hAnsi="Sylfaen"/>
                <w:sz w:val="24"/>
                <w:szCs w:val="24"/>
              </w:rPr>
              <w:t>Անդամ պետություններ չհանդիսացող պետությունների լիազոր մարմինների կողմից տրված՝ Միության տարածքում արտաքին տնտեսական գործունեության իրականացման համար անհրաժեշտ փաստաթղթերում պարունակվող տեղեկությունների օգտագործում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3.4</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trHeight w:val="2826"/>
          <w:jc w:val="center"/>
        </w:trPr>
        <w:tc>
          <w:tcPr>
            <w:tcW w:w="5427" w:type="dxa"/>
            <w:shd w:val="clear" w:color="auto" w:fill="FFFFFF"/>
          </w:tcPr>
          <w:p w:rsidR="005E58D7" w:rsidRPr="00E64288" w:rsidRDefault="002F5606" w:rsidP="00A9546D">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3.4.1.</w:t>
            </w:r>
            <w:r w:rsidR="00B0263C" w:rsidRPr="003B3650">
              <w:rPr>
                <w:rStyle w:val="Bodytext21"/>
                <w:rFonts w:ascii="Sylfaen" w:hAnsi="Sylfaen"/>
                <w:sz w:val="24"/>
                <w:szCs w:val="24"/>
              </w:rPr>
              <w:tab/>
            </w:r>
            <w:r w:rsidR="00EC2A2C" w:rsidRPr="00E64288">
              <w:rPr>
                <w:rStyle w:val="Bodytext21"/>
                <w:rFonts w:ascii="Sylfaen" w:hAnsi="Sylfaen"/>
                <w:sz w:val="24"/>
                <w:szCs w:val="24"/>
              </w:rPr>
              <w:t>Անդամ պետություններ չհանդիսացող պետությունների լիազոր մարմինների կողմից տրված՝ Միության տարածքում արտաքին տնտեսական գործունեության իրականացման համար անհրաժեշտ փաստաթղթերի եւ (կամ) տեղեկությունների օգտագործման վերաբերյալ առաջարկների նախապատրաստում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 առաջարկների ժողովածու</w:t>
            </w:r>
          </w:p>
        </w:tc>
      </w:tr>
      <w:tr w:rsidR="008B4F9A" w:rsidRPr="00E64288" w:rsidTr="008B4F9A">
        <w:trPr>
          <w:trHeight w:val="1419"/>
          <w:jc w:val="center"/>
        </w:trPr>
        <w:tc>
          <w:tcPr>
            <w:tcW w:w="5427" w:type="dxa"/>
            <w:shd w:val="clear" w:color="auto" w:fill="FFFFFF"/>
          </w:tcPr>
          <w:p w:rsidR="005E58D7" w:rsidRPr="00E64288" w:rsidRDefault="00B0263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3.5.</w:t>
            </w:r>
            <w:r w:rsidRPr="00B0263C">
              <w:rPr>
                <w:rStyle w:val="Bodytext21"/>
                <w:rFonts w:ascii="Sylfaen" w:hAnsi="Sylfaen"/>
                <w:sz w:val="24"/>
                <w:szCs w:val="24"/>
              </w:rPr>
              <w:tab/>
            </w:r>
            <w:r w:rsidR="00EC2A2C" w:rsidRPr="00E64288">
              <w:rPr>
                <w:rStyle w:val="Bodytext21"/>
                <w:rFonts w:ascii="Sylfaen" w:hAnsi="Sylfaen"/>
                <w:sz w:val="24"/>
                <w:szCs w:val="24"/>
              </w:rPr>
              <w:t>Արտաքին տնտեսական գործունեության սուբյեկտների եզակի նույնականացման ապահովում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3.5</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EC2A2C" w:rsidP="00443AEA">
            <w:pPr>
              <w:pStyle w:val="Bodytext20"/>
              <w:shd w:val="clear" w:color="auto" w:fill="auto"/>
              <w:tabs>
                <w:tab w:val="left" w:pos="851"/>
              </w:tabs>
              <w:spacing w:before="0" w:after="160" w:line="384" w:lineRule="auto"/>
              <w:ind w:left="590" w:right="113"/>
              <w:jc w:val="left"/>
              <w:rPr>
                <w:rFonts w:ascii="Sylfaen" w:hAnsi="Sylfaen"/>
                <w:sz w:val="24"/>
                <w:szCs w:val="24"/>
              </w:rPr>
            </w:pPr>
            <w:r w:rsidRPr="00E64288">
              <w:rPr>
                <w:rStyle w:val="Bodytext21"/>
                <w:rFonts w:ascii="Sylfaen" w:hAnsi="Sylfaen"/>
                <w:sz w:val="24"/>
                <w:szCs w:val="24"/>
              </w:rPr>
              <w:t>3.5.1.</w:t>
            </w:r>
            <w:r w:rsidR="00B0263C" w:rsidRPr="00B0263C">
              <w:rPr>
                <w:rStyle w:val="Bodytext21"/>
                <w:rFonts w:ascii="Sylfaen" w:hAnsi="Sylfaen"/>
                <w:sz w:val="24"/>
                <w:szCs w:val="24"/>
              </w:rPr>
              <w:tab/>
            </w:r>
            <w:r w:rsidRPr="00E64288">
              <w:rPr>
                <w:rFonts w:ascii="Sylfaen" w:hAnsi="Sylfaen"/>
                <w:sz w:val="24"/>
                <w:szCs w:val="24"/>
              </w:rPr>
              <w:t xml:space="preserve">Միության մաքսային տարածքում արտաքին տնտեսական գործունեության </w:t>
            </w:r>
            <w:r w:rsidRPr="00E64288">
              <w:rPr>
                <w:rFonts w:ascii="Sylfaen" w:hAnsi="Sylfaen"/>
                <w:sz w:val="24"/>
                <w:szCs w:val="24"/>
              </w:rPr>
              <w:lastRenderedPageBreak/>
              <w:t>մասնակիցների նույնականացման միասնական համակարգի ստեղծման վերաբերյալ առաջարկների մշակում եւ համաձայնեցում անդամ պետությունների հետ</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 xml:space="preserve">Հանձնաժողով, անդամ </w:t>
            </w:r>
            <w:r w:rsidRPr="00E64288">
              <w:rPr>
                <w:rFonts w:ascii="Sylfaen" w:hAnsi="Sylfaen"/>
                <w:sz w:val="24"/>
                <w:szCs w:val="24"/>
              </w:rPr>
              <w:lastRenderedPageBreak/>
              <w:t>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lastRenderedPageBreak/>
              <w:t xml:space="preserve">հաշվետվություն, </w:t>
            </w:r>
            <w:r w:rsidRPr="00E64288">
              <w:rPr>
                <w:rStyle w:val="Bodytext21"/>
                <w:rFonts w:ascii="Sylfaen" w:hAnsi="Sylfaen"/>
                <w:sz w:val="24"/>
                <w:szCs w:val="24"/>
              </w:rPr>
              <w:lastRenderedPageBreak/>
              <w:t>առաջարկների ժողովածու</w:t>
            </w:r>
          </w:p>
        </w:tc>
      </w:tr>
      <w:tr w:rsidR="005E58D7" w:rsidRPr="00E64288" w:rsidTr="008B4F9A">
        <w:trPr>
          <w:jc w:val="center"/>
        </w:trPr>
        <w:tc>
          <w:tcPr>
            <w:tcW w:w="16051" w:type="dxa"/>
            <w:gridSpan w:val="5"/>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lastRenderedPageBreak/>
              <w:t>4. Տեղեկատվական փոխգործակցության կազմակերպում</w:t>
            </w:r>
          </w:p>
        </w:tc>
      </w:tr>
      <w:tr w:rsidR="008B4F9A" w:rsidRPr="00E64288" w:rsidTr="008B4F9A">
        <w:trPr>
          <w:jc w:val="center"/>
        </w:trPr>
        <w:tc>
          <w:tcPr>
            <w:tcW w:w="5427" w:type="dxa"/>
            <w:shd w:val="clear" w:color="auto" w:fill="FFFFFF"/>
          </w:tcPr>
          <w:p w:rsidR="005E58D7" w:rsidRPr="00E64288" w:rsidRDefault="00B0263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4.1.</w:t>
            </w:r>
            <w:r w:rsidRPr="00B0263C">
              <w:rPr>
                <w:rStyle w:val="Bodytext21"/>
                <w:rFonts w:ascii="Sylfaen" w:hAnsi="Sylfaen"/>
                <w:sz w:val="24"/>
                <w:szCs w:val="24"/>
              </w:rPr>
              <w:tab/>
            </w:r>
            <w:r w:rsidR="00EC2A2C" w:rsidRPr="00E64288">
              <w:rPr>
                <w:rStyle w:val="Bodytext21"/>
                <w:rFonts w:ascii="Sylfaen" w:hAnsi="Sylfaen"/>
                <w:sz w:val="24"/>
                <w:szCs w:val="24"/>
              </w:rPr>
              <w:t>«Մեկ պատուհանի» ազգային մեխանիզմների շրջանակներում շահագրգիռ անձանց եւ պետական մարմինների փոխգործակցության ընթացակարգերի միասնականացում (B2G)</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4.1</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B0263C" w:rsidP="00FD40AE">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4.1.1.</w:t>
            </w:r>
            <w:r w:rsidRPr="00B0263C">
              <w:rPr>
                <w:rStyle w:val="Bodytext21"/>
                <w:rFonts w:ascii="Sylfaen" w:hAnsi="Sylfaen"/>
                <w:sz w:val="24"/>
                <w:szCs w:val="24"/>
              </w:rPr>
              <w:tab/>
            </w:r>
            <w:r w:rsidR="00EC2A2C" w:rsidRPr="00E64288">
              <w:rPr>
                <w:rStyle w:val="Bodytext21"/>
                <w:rFonts w:ascii="Sylfaen" w:hAnsi="Sylfaen"/>
                <w:sz w:val="24"/>
                <w:szCs w:val="24"/>
              </w:rPr>
              <w:t xml:space="preserve">B2G միասնականացվող ընթացակարգերի շրջանակներում </w:t>
            </w:r>
            <w:r w:rsidR="00EC2A2C" w:rsidRPr="00E64288">
              <w:rPr>
                <w:rStyle w:val="Bodytext21"/>
                <w:rFonts w:ascii="Sylfaen" w:hAnsi="Sylfaen"/>
                <w:sz w:val="24"/>
                <w:szCs w:val="24"/>
              </w:rPr>
              <w:lastRenderedPageBreak/>
              <w:t xml:space="preserve">տեղեկատվական փոխգործակցության ընթացքում հաղորդագրությունները (հարցումները) ուղարկելու եւ ստանալու </w:t>
            </w:r>
            <w:r w:rsidR="00084679" w:rsidRPr="00E64288">
              <w:rPr>
                <w:rStyle w:val="Bodytext21"/>
                <w:rFonts w:ascii="Sylfaen" w:hAnsi="Sylfaen"/>
                <w:sz w:val="24"/>
                <w:szCs w:val="24"/>
              </w:rPr>
              <w:t xml:space="preserve">կարգի </w:t>
            </w:r>
            <w:r w:rsidR="00EC2A2C" w:rsidRPr="00E64288">
              <w:rPr>
                <w:rStyle w:val="Bodytext21"/>
                <w:rFonts w:ascii="Sylfaen" w:hAnsi="Sylfaen"/>
                <w:sz w:val="24"/>
                <w:szCs w:val="24"/>
              </w:rPr>
              <w:t>կանոնակարգում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հոկտեմբեր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մարմնի ակտի նախագիծ</w:t>
            </w:r>
          </w:p>
        </w:tc>
      </w:tr>
      <w:tr w:rsidR="008B4F9A" w:rsidRPr="00E64288" w:rsidTr="008B4F9A">
        <w:trPr>
          <w:jc w:val="center"/>
        </w:trPr>
        <w:tc>
          <w:tcPr>
            <w:tcW w:w="5427" w:type="dxa"/>
            <w:shd w:val="clear" w:color="auto" w:fill="FFFFFF"/>
            <w:vAlign w:val="bottom"/>
          </w:tcPr>
          <w:p w:rsidR="005E58D7" w:rsidRPr="00E64288" w:rsidRDefault="0044296B" w:rsidP="00FD40AE">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4.1.2.</w:t>
            </w:r>
            <w:r w:rsidRPr="0044296B">
              <w:rPr>
                <w:rStyle w:val="Bodytext21"/>
                <w:rFonts w:ascii="Sylfaen" w:hAnsi="Sylfaen"/>
                <w:sz w:val="24"/>
                <w:szCs w:val="24"/>
              </w:rPr>
              <w:tab/>
            </w:r>
            <w:r w:rsidR="00EC2A2C" w:rsidRPr="00E64288">
              <w:rPr>
                <w:rStyle w:val="Bodytext21"/>
                <w:rFonts w:ascii="Sylfaen" w:hAnsi="Sylfaen"/>
                <w:sz w:val="24"/>
                <w:szCs w:val="24"/>
              </w:rPr>
              <w:t xml:space="preserve">Ցանկով սահմանված B2G </w:t>
            </w:r>
            <w:r w:rsidR="008A48AD" w:rsidRPr="00E64288">
              <w:rPr>
                <w:rStyle w:val="Bodytext21"/>
                <w:rFonts w:ascii="Sylfaen" w:hAnsi="Sylfaen"/>
                <w:sz w:val="24"/>
                <w:szCs w:val="24"/>
              </w:rPr>
              <w:t>ընտրողական</w:t>
            </w:r>
            <w:r w:rsidR="00EC2A2C" w:rsidRPr="00E64288">
              <w:rPr>
                <w:rStyle w:val="Bodytext21"/>
                <w:rFonts w:ascii="Sylfaen" w:hAnsi="Sylfaen"/>
                <w:sz w:val="24"/>
                <w:szCs w:val="24"/>
              </w:rPr>
              <w:t xml:space="preserve"> ընթացակարգի առնչությամբ պետական մարմինների կամ լիազոր կազմակերպությունների կողմից ծառայությունների մատուցման վերաբերյալ առաջարկությունների մշակում՝ յուրաքանչյուր բլոկի մասով առանձին</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մարմնի ակտի նախագիծ</w:t>
            </w:r>
          </w:p>
        </w:tc>
      </w:tr>
      <w:tr w:rsidR="008B4F9A" w:rsidRPr="00E64288" w:rsidTr="008B4F9A">
        <w:trPr>
          <w:jc w:val="center"/>
        </w:trPr>
        <w:tc>
          <w:tcPr>
            <w:tcW w:w="5427" w:type="dxa"/>
            <w:shd w:val="clear" w:color="auto" w:fill="FFFFFF"/>
          </w:tcPr>
          <w:p w:rsidR="005E58D7" w:rsidRPr="00E64288" w:rsidRDefault="0044296B"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4.2.</w:t>
            </w:r>
            <w:r w:rsidRPr="0044296B">
              <w:rPr>
                <w:rStyle w:val="Bodytext21"/>
                <w:rFonts w:ascii="Sylfaen" w:hAnsi="Sylfaen"/>
                <w:sz w:val="24"/>
                <w:szCs w:val="24"/>
              </w:rPr>
              <w:tab/>
            </w:r>
            <w:r w:rsidR="00EC2A2C" w:rsidRPr="00E64288">
              <w:rPr>
                <w:rStyle w:val="Bodytext21"/>
                <w:rFonts w:ascii="Sylfaen" w:hAnsi="Sylfaen"/>
                <w:sz w:val="24"/>
                <w:szCs w:val="24"/>
              </w:rPr>
              <w:t xml:space="preserve">«Մեկ պատուհանի» ազգային մեխանիզմների շրջանակներում </w:t>
            </w:r>
            <w:r w:rsidR="00EC2A2C" w:rsidRPr="00E64288">
              <w:rPr>
                <w:rStyle w:val="Bodytext21"/>
                <w:rFonts w:ascii="Sylfaen" w:hAnsi="Sylfaen"/>
                <w:sz w:val="24"/>
                <w:szCs w:val="24"/>
              </w:rPr>
              <w:lastRenderedPageBreak/>
              <w:t>միջգերատեսչական տեղեկատվական փոխգործակցության ընթացակարգերի օպտիմալացում (G2G)</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lastRenderedPageBreak/>
              <w:t>կետ 4.2</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44296B" w:rsidP="00FD40AE">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4.2.1.</w:t>
            </w:r>
            <w:r w:rsidRPr="0044296B">
              <w:rPr>
                <w:rStyle w:val="Bodytext21"/>
                <w:rFonts w:ascii="Sylfaen" w:hAnsi="Sylfaen"/>
                <w:sz w:val="24"/>
                <w:szCs w:val="24"/>
              </w:rPr>
              <w:tab/>
            </w:r>
            <w:r w:rsidR="00EC2A2C" w:rsidRPr="00E64288">
              <w:rPr>
                <w:rStyle w:val="Bodytext21"/>
                <w:rFonts w:ascii="Sylfaen" w:hAnsi="Sylfaen"/>
                <w:sz w:val="24"/>
                <w:szCs w:val="24"/>
              </w:rPr>
              <w:t>G2G ընթացակարգերի շրջանակներում տեղեկատվական փոխգործակցության ընթացքում հաղորդագրությունները (հարցումները) ուղարկելու եւ ստանալու կարգի վերաբերյալ առաջարկությունների նախապատրաստում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Հանձնաժողովի կոլեգիայի ակտի նախագիծ</w:t>
            </w:r>
          </w:p>
        </w:tc>
      </w:tr>
      <w:tr w:rsidR="008B4F9A" w:rsidRPr="00E64288" w:rsidTr="008B4F9A">
        <w:trPr>
          <w:jc w:val="center"/>
        </w:trPr>
        <w:tc>
          <w:tcPr>
            <w:tcW w:w="5427" w:type="dxa"/>
            <w:shd w:val="clear" w:color="auto" w:fill="FFFFFF"/>
          </w:tcPr>
          <w:p w:rsidR="005E58D7" w:rsidRPr="00E64288" w:rsidRDefault="00EF28F8"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4.3.</w:t>
            </w:r>
            <w:r w:rsidRPr="00EF28F8">
              <w:rPr>
                <w:rStyle w:val="Bodytext21"/>
                <w:rFonts w:ascii="Sylfaen" w:hAnsi="Sylfaen"/>
                <w:sz w:val="24"/>
                <w:szCs w:val="24"/>
              </w:rPr>
              <w:tab/>
            </w:r>
            <w:r w:rsidR="00EC2A2C" w:rsidRPr="00E64288">
              <w:rPr>
                <w:rStyle w:val="Bodytext21"/>
                <w:rFonts w:ascii="Sylfaen" w:hAnsi="Sylfaen"/>
                <w:sz w:val="24"/>
                <w:szCs w:val="24"/>
              </w:rPr>
              <w:t xml:space="preserve">Միության շրջանակներում «մեկ պատուհանի» ազգային մեխանիզմների գործունեության ապահովման ընթացքում գործողության մեջ դրված ընդհանուր </w:t>
            </w:r>
            <w:r w:rsidR="00EC2A2C" w:rsidRPr="00E64288">
              <w:rPr>
                <w:rStyle w:val="Bodytext21"/>
                <w:rFonts w:ascii="Sylfaen" w:hAnsi="Sylfaen"/>
                <w:sz w:val="24"/>
                <w:szCs w:val="24"/>
              </w:rPr>
              <w:lastRenderedPageBreak/>
              <w:t>գործընթացների օպտիմալացում եւ իրագործում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lastRenderedPageBreak/>
              <w:t>կետ 4.3</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EF28F8" w:rsidP="00FD40AE">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4.3.1.</w:t>
            </w:r>
            <w:r w:rsidRPr="00EF28F8">
              <w:rPr>
                <w:rStyle w:val="Bodytext21"/>
                <w:rFonts w:ascii="Sylfaen" w:hAnsi="Sylfaen"/>
                <w:sz w:val="24"/>
                <w:szCs w:val="24"/>
              </w:rPr>
              <w:tab/>
            </w:r>
            <w:r w:rsidR="00EC2A2C" w:rsidRPr="00E64288">
              <w:rPr>
                <w:rStyle w:val="Bodytext21"/>
                <w:rFonts w:ascii="Sylfaen" w:hAnsi="Sylfaen"/>
                <w:sz w:val="24"/>
                <w:szCs w:val="24"/>
              </w:rPr>
              <w:t>Միության շրջանակներում «մեկ պատուհանի» ազգային մեխանիզմների գործունեության ապահովման ընթացքում գործողության մեջ դրված ընդհանուր գործընթացների կանոնակարգում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մարմինների ակտեր</w:t>
            </w:r>
          </w:p>
        </w:tc>
      </w:tr>
      <w:tr w:rsidR="008B4F9A" w:rsidRPr="00E64288" w:rsidTr="008B4F9A">
        <w:trPr>
          <w:jc w:val="center"/>
        </w:trPr>
        <w:tc>
          <w:tcPr>
            <w:tcW w:w="5427" w:type="dxa"/>
            <w:shd w:val="clear" w:color="auto" w:fill="FFFFFF"/>
          </w:tcPr>
          <w:p w:rsidR="005E58D7" w:rsidRPr="00E64288" w:rsidRDefault="00EF28F8" w:rsidP="00FD40AE">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4.3.2.</w:t>
            </w:r>
            <w:r w:rsidRPr="00EF28F8">
              <w:rPr>
                <w:rStyle w:val="Bodytext21"/>
                <w:rFonts w:ascii="Sylfaen" w:hAnsi="Sylfaen"/>
                <w:sz w:val="24"/>
                <w:szCs w:val="24"/>
              </w:rPr>
              <w:tab/>
            </w:r>
            <w:r w:rsidR="00EC2A2C" w:rsidRPr="00E64288">
              <w:rPr>
                <w:rStyle w:val="Bodytext21"/>
                <w:rFonts w:ascii="Sylfaen" w:hAnsi="Sylfaen"/>
                <w:sz w:val="24"/>
                <w:szCs w:val="24"/>
              </w:rPr>
              <w:t xml:space="preserve">Միության ինտեգրված տեղեկատվական համակարգի՝ Հանձնաժողովի ինտեգրացիոն հատվածում «մեկ պատուհանի» ազգային մեխանիզմների գործունեության ապահովման ընթացքում գործողության մեջ դրված ընդհանուր գործընթացների </w:t>
            </w:r>
            <w:r w:rsidR="00EC2A2C" w:rsidRPr="00E64288">
              <w:rPr>
                <w:rStyle w:val="Bodytext21"/>
                <w:rFonts w:ascii="Sylfaen" w:hAnsi="Sylfaen"/>
                <w:sz w:val="24"/>
                <w:szCs w:val="24"/>
              </w:rPr>
              <w:lastRenderedPageBreak/>
              <w:t>իրագործում</w:t>
            </w:r>
            <w:r w:rsidR="00C27349" w:rsidRPr="00E64288">
              <w:rPr>
                <w:rStyle w:val="Bodytext21"/>
                <w:rFonts w:ascii="Sylfaen" w:hAnsi="Sylfaen"/>
                <w:sz w:val="24"/>
                <w:szCs w:val="24"/>
              </w:rPr>
              <w:t>՝</w:t>
            </w:r>
            <w:r w:rsidR="00EC2A2C" w:rsidRPr="00E64288">
              <w:rPr>
                <w:rStyle w:val="Bodytext21"/>
                <w:rFonts w:ascii="Sylfaen" w:hAnsi="Sylfaen"/>
                <w:sz w:val="24"/>
                <w:szCs w:val="24"/>
              </w:rPr>
              <w:t xml:space="preserve"> Միության շրջանակներում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 եւ տեխնիկական փաստաթղթեր</w:t>
            </w:r>
          </w:p>
        </w:tc>
      </w:tr>
      <w:tr w:rsidR="008B4F9A" w:rsidRPr="00E64288" w:rsidTr="008B4F9A">
        <w:trPr>
          <w:jc w:val="center"/>
        </w:trPr>
        <w:tc>
          <w:tcPr>
            <w:tcW w:w="5427" w:type="dxa"/>
            <w:shd w:val="clear" w:color="auto" w:fill="FFFFFF"/>
            <w:vAlign w:val="bottom"/>
          </w:tcPr>
          <w:p w:rsidR="005E58D7" w:rsidRPr="00E64288" w:rsidRDefault="00EF28F8" w:rsidP="008B0D08">
            <w:pPr>
              <w:pStyle w:val="Bodytext20"/>
              <w:shd w:val="clear" w:color="auto" w:fill="auto"/>
              <w:tabs>
                <w:tab w:val="left" w:pos="851"/>
              </w:tabs>
              <w:spacing w:before="0" w:after="160" w:line="384" w:lineRule="auto"/>
              <w:ind w:left="590" w:right="113"/>
              <w:jc w:val="left"/>
              <w:rPr>
                <w:rFonts w:ascii="Sylfaen" w:hAnsi="Sylfaen"/>
                <w:sz w:val="24"/>
                <w:szCs w:val="24"/>
              </w:rPr>
            </w:pPr>
            <w:r>
              <w:rPr>
                <w:rStyle w:val="Bodytext21"/>
                <w:rFonts w:ascii="Sylfaen" w:hAnsi="Sylfaen"/>
                <w:sz w:val="24"/>
                <w:szCs w:val="24"/>
              </w:rPr>
              <w:lastRenderedPageBreak/>
              <w:t>4.3.3.</w:t>
            </w:r>
            <w:r w:rsidRPr="00EF28F8">
              <w:rPr>
                <w:rStyle w:val="Bodytext21"/>
                <w:rFonts w:ascii="Sylfaen" w:hAnsi="Sylfaen"/>
                <w:sz w:val="24"/>
                <w:szCs w:val="24"/>
              </w:rPr>
              <w:tab/>
            </w:r>
            <w:r w:rsidR="00EC2A2C" w:rsidRPr="00E64288">
              <w:rPr>
                <w:rStyle w:val="Bodytext21"/>
                <w:rFonts w:ascii="Sylfaen" w:hAnsi="Sylfaen"/>
                <w:sz w:val="24"/>
                <w:szCs w:val="24"/>
              </w:rPr>
              <w:t>Միության ինտեգրված տեղեկատվական համակարգի՝ անդամ պետությունների ազգային հատվածներում «մեկ պատուհանի» ազգային մեխանիզմների գործունեության ապահովման ընթացքում գործողության մեջ դրված ընդհանուր գործընթացների իրագործում</w:t>
            </w:r>
            <w:r w:rsidR="00C27349" w:rsidRPr="00E64288">
              <w:rPr>
                <w:rStyle w:val="Bodytext21"/>
                <w:rFonts w:ascii="Sylfaen" w:hAnsi="Sylfaen"/>
                <w:sz w:val="24"/>
                <w:szCs w:val="24"/>
              </w:rPr>
              <w:t>՝</w:t>
            </w:r>
            <w:r w:rsidR="00EC2A2C" w:rsidRPr="00E64288">
              <w:rPr>
                <w:rStyle w:val="Bodytext21"/>
                <w:rFonts w:ascii="Sylfaen" w:hAnsi="Sylfaen"/>
                <w:sz w:val="24"/>
                <w:szCs w:val="24"/>
              </w:rPr>
              <w:t xml:space="preserve"> Միության շրջանակներում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 եւ տեխնիկական փաստաթղթեր</w:t>
            </w:r>
          </w:p>
        </w:tc>
      </w:tr>
      <w:tr w:rsidR="008B4F9A" w:rsidRPr="00E64288" w:rsidTr="008B4F9A">
        <w:trPr>
          <w:jc w:val="center"/>
        </w:trPr>
        <w:tc>
          <w:tcPr>
            <w:tcW w:w="5427" w:type="dxa"/>
            <w:shd w:val="clear" w:color="auto" w:fill="FFFFFF"/>
          </w:tcPr>
          <w:p w:rsidR="005E58D7" w:rsidRPr="00E64288" w:rsidRDefault="00EF28F8"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4.4.</w:t>
            </w:r>
            <w:r w:rsidRPr="00EF28F8">
              <w:rPr>
                <w:rStyle w:val="Bodytext21"/>
                <w:rFonts w:ascii="Sylfaen" w:hAnsi="Sylfaen"/>
                <w:sz w:val="24"/>
                <w:szCs w:val="24"/>
              </w:rPr>
              <w:tab/>
            </w:r>
            <w:r w:rsidR="00EC2A2C" w:rsidRPr="00E64288">
              <w:rPr>
                <w:rStyle w:val="Bodytext21"/>
                <w:rFonts w:ascii="Sylfaen" w:hAnsi="Sylfaen"/>
                <w:sz w:val="24"/>
                <w:szCs w:val="24"/>
              </w:rPr>
              <w:t>Շահագրգիռ անձանց կողմից «մեկ պատուհանի» ազգային մեխանիզմների օգտագործման ընթացակարգերի պարզեցում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4.4</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0D08">
        <w:trPr>
          <w:jc w:val="center"/>
        </w:trPr>
        <w:tc>
          <w:tcPr>
            <w:tcW w:w="5427" w:type="dxa"/>
            <w:shd w:val="clear" w:color="auto" w:fill="FFFFFF"/>
            <w:vAlign w:val="bottom"/>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4.4.1.</w:t>
            </w:r>
            <w:r w:rsidRPr="003B3650">
              <w:rPr>
                <w:rStyle w:val="Bodytext21"/>
                <w:rFonts w:ascii="Sylfaen" w:hAnsi="Sylfaen"/>
                <w:sz w:val="24"/>
                <w:szCs w:val="24"/>
              </w:rPr>
              <w:tab/>
            </w:r>
            <w:r w:rsidR="00EC2A2C" w:rsidRPr="00E64288">
              <w:rPr>
                <w:rStyle w:val="Bodytext21"/>
                <w:rFonts w:ascii="Sylfaen" w:hAnsi="Sylfaen"/>
                <w:sz w:val="24"/>
                <w:szCs w:val="24"/>
              </w:rPr>
              <w:t>Ապրանքներն էլեկտրոնային եղանակով հայտարարագրելիս տնտես</w:t>
            </w:r>
            <w:r w:rsidR="00C27349" w:rsidRPr="00E64288">
              <w:rPr>
                <w:rStyle w:val="Bodytext21"/>
                <w:rFonts w:ascii="Sylfaen" w:hAnsi="Sylfaen"/>
                <w:sz w:val="24"/>
                <w:szCs w:val="24"/>
              </w:rPr>
              <w:t>ա</w:t>
            </w:r>
            <w:r w:rsidR="00EC2A2C" w:rsidRPr="00E64288">
              <w:rPr>
                <w:rStyle w:val="Bodytext21"/>
                <w:rFonts w:ascii="Sylfaen" w:hAnsi="Sylfaen"/>
                <w:sz w:val="24"/>
                <w:szCs w:val="24"/>
              </w:rPr>
              <w:t>վարող սուբյեկտների միջեւ առաջացող բիզնես գործընթացների եւ փոխգործակցության ընթացակարգերի (В2В) վերլուծություն</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vAlign w:val="center"/>
          </w:tcPr>
          <w:p w:rsidR="005E58D7" w:rsidRPr="00E64288" w:rsidRDefault="00EC2A2C" w:rsidP="008B0D08">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նոյեմբեր</w:t>
            </w:r>
          </w:p>
        </w:tc>
        <w:tc>
          <w:tcPr>
            <w:tcW w:w="3115" w:type="dxa"/>
            <w:shd w:val="clear" w:color="auto" w:fill="FFFFFF"/>
            <w:vAlign w:val="center"/>
          </w:tcPr>
          <w:p w:rsidR="005E58D7" w:rsidRPr="00E64288" w:rsidRDefault="00EC2A2C" w:rsidP="008B0D08">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w:t>
            </w:r>
          </w:p>
        </w:tc>
      </w:tr>
      <w:tr w:rsidR="008B4F9A" w:rsidRPr="00E64288" w:rsidTr="008B4F9A">
        <w:trPr>
          <w:jc w:val="center"/>
        </w:trPr>
        <w:tc>
          <w:tcPr>
            <w:tcW w:w="5427" w:type="dxa"/>
            <w:shd w:val="clear" w:color="auto" w:fill="FFFFFF"/>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4.4.2.</w:t>
            </w:r>
            <w:r w:rsidRPr="000111A9">
              <w:rPr>
                <w:rStyle w:val="Bodytext21"/>
                <w:rFonts w:ascii="Sylfaen" w:hAnsi="Sylfaen"/>
                <w:sz w:val="24"/>
                <w:szCs w:val="24"/>
              </w:rPr>
              <w:tab/>
            </w:r>
            <w:r w:rsidR="00EC2A2C" w:rsidRPr="00E64288">
              <w:rPr>
                <w:rStyle w:val="Bodytext21"/>
                <w:rFonts w:ascii="Sylfaen" w:hAnsi="Sylfaen"/>
                <w:sz w:val="24"/>
                <w:szCs w:val="24"/>
              </w:rPr>
              <w:t>B2G միասնականացված ընթացակարգերի մասին տեղեկատվության ստացման եւ օգտագործման ժամանակ շահագրգիռ անձանց համար հավասար պայմաններ ապահովելու նպատակով B2G միասնականացված ընթացակարգերի՝</w:t>
            </w:r>
            <w:r w:rsidR="00AD2A01">
              <w:rPr>
                <w:rStyle w:val="Bodytext21"/>
                <w:rFonts w:ascii="Sylfaen" w:hAnsi="Sylfaen"/>
                <w:sz w:val="24"/>
                <w:szCs w:val="24"/>
              </w:rPr>
              <w:t xml:space="preserve"> </w:t>
            </w:r>
            <w:r w:rsidR="00EC2A2C" w:rsidRPr="00E64288">
              <w:rPr>
                <w:rStyle w:val="Bodytext21"/>
                <w:rFonts w:ascii="Sylfaen" w:hAnsi="Sylfaen"/>
                <w:sz w:val="24"/>
                <w:szCs w:val="24"/>
              </w:rPr>
              <w:t xml:space="preserve">էլեկտրոնային տեսքով կատալոգի </w:t>
            </w:r>
            <w:r w:rsidR="00EC2A2C" w:rsidRPr="00E64288">
              <w:rPr>
                <w:rStyle w:val="Bodytext21"/>
                <w:rFonts w:ascii="Sylfaen" w:hAnsi="Sylfaen"/>
                <w:sz w:val="24"/>
                <w:szCs w:val="24"/>
              </w:rPr>
              <w:lastRenderedPageBreak/>
              <w:t>ձեւավորման վերաբերյալ առաջարկների մշակում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կատալոգի ձեւավորման վերաբերյալ առաջարկներ, հաշվետվություն</w:t>
            </w:r>
          </w:p>
        </w:tc>
      </w:tr>
      <w:tr w:rsidR="008B4F9A" w:rsidRPr="00E64288" w:rsidTr="008B4F9A">
        <w:trPr>
          <w:jc w:val="center"/>
        </w:trPr>
        <w:tc>
          <w:tcPr>
            <w:tcW w:w="5427" w:type="dxa"/>
            <w:shd w:val="clear" w:color="auto" w:fill="FFFFFF"/>
          </w:tcPr>
          <w:p w:rsidR="005E58D7" w:rsidRPr="00E64288" w:rsidRDefault="000111A9" w:rsidP="00F26DFC">
            <w:pPr>
              <w:pStyle w:val="Bodytext20"/>
              <w:shd w:val="clear" w:color="auto" w:fill="auto"/>
              <w:tabs>
                <w:tab w:val="left" w:pos="851"/>
              </w:tabs>
              <w:spacing w:before="0" w:after="160" w:line="384" w:lineRule="auto"/>
              <w:ind w:left="112" w:right="113"/>
              <w:jc w:val="left"/>
              <w:rPr>
                <w:rFonts w:ascii="Sylfaen" w:hAnsi="Sylfaen"/>
                <w:sz w:val="24"/>
                <w:szCs w:val="24"/>
              </w:rPr>
            </w:pPr>
            <w:r>
              <w:rPr>
                <w:rStyle w:val="Bodytext21"/>
                <w:rFonts w:ascii="Sylfaen" w:hAnsi="Sylfaen"/>
                <w:sz w:val="24"/>
                <w:szCs w:val="24"/>
              </w:rPr>
              <w:lastRenderedPageBreak/>
              <w:t>4.5.</w:t>
            </w:r>
            <w:r w:rsidRPr="000111A9">
              <w:rPr>
                <w:rStyle w:val="Bodytext21"/>
                <w:rFonts w:ascii="Sylfaen" w:hAnsi="Sylfaen"/>
                <w:sz w:val="24"/>
                <w:szCs w:val="24"/>
              </w:rPr>
              <w:tab/>
            </w:r>
            <w:r w:rsidR="00EC2A2C" w:rsidRPr="00E64288">
              <w:rPr>
                <w:rStyle w:val="Bodytext21"/>
                <w:rFonts w:ascii="Sylfaen" w:hAnsi="Sylfaen"/>
                <w:sz w:val="24"/>
                <w:szCs w:val="24"/>
              </w:rPr>
              <w:t>Միության՝ «Մեկ պատուհանի» ազգային մեխանիզմների գործունեությունն ապահովելու համար անհրաժեշտ նորմատիվ-տեղեկատվական տեղեկությունների միասնական համակարգի ձեւավորում եւ զարգացում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4.5</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0111A9" w:rsidP="00F26DFC">
            <w:pPr>
              <w:pStyle w:val="Bodytext20"/>
              <w:shd w:val="clear" w:color="auto" w:fill="auto"/>
              <w:tabs>
                <w:tab w:val="left" w:pos="851"/>
              </w:tabs>
              <w:spacing w:before="0" w:after="160" w:line="384" w:lineRule="auto"/>
              <w:ind w:left="592" w:right="113"/>
              <w:jc w:val="left"/>
              <w:rPr>
                <w:rFonts w:ascii="Sylfaen" w:hAnsi="Sylfaen"/>
                <w:sz w:val="24"/>
                <w:szCs w:val="24"/>
              </w:rPr>
            </w:pPr>
            <w:r>
              <w:rPr>
                <w:rStyle w:val="Bodytext21"/>
                <w:rFonts w:ascii="Sylfaen" w:hAnsi="Sylfaen"/>
                <w:sz w:val="24"/>
                <w:szCs w:val="24"/>
              </w:rPr>
              <w:t>4.5.1.</w:t>
            </w:r>
            <w:r w:rsidRPr="000111A9">
              <w:rPr>
                <w:rStyle w:val="Bodytext21"/>
                <w:rFonts w:ascii="Sylfaen" w:hAnsi="Sylfaen"/>
                <w:sz w:val="24"/>
                <w:szCs w:val="24"/>
              </w:rPr>
              <w:tab/>
            </w:r>
            <w:r w:rsidR="00EC2A2C" w:rsidRPr="00E64288">
              <w:rPr>
                <w:rStyle w:val="Bodytext21"/>
                <w:rFonts w:ascii="Sylfaen" w:hAnsi="Sylfaen"/>
                <w:sz w:val="24"/>
                <w:szCs w:val="24"/>
              </w:rPr>
              <w:t xml:space="preserve">Միության նորմատիվ-տեղեկատվական տեղեկությունների միասնական համակարգի կազմում ներառելու համար տեղեկատուների եւ դասակարգիչների ձեւավորում </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մարմինների ակտեր</w:t>
            </w:r>
          </w:p>
        </w:tc>
      </w:tr>
      <w:tr w:rsidR="005E58D7" w:rsidRPr="00E64288" w:rsidTr="008B4F9A">
        <w:trPr>
          <w:jc w:val="center"/>
        </w:trPr>
        <w:tc>
          <w:tcPr>
            <w:tcW w:w="16051" w:type="dxa"/>
            <w:gridSpan w:val="5"/>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lastRenderedPageBreak/>
              <w:t>5. Հասկացութային ապարատի ձեւավորում</w:t>
            </w:r>
          </w:p>
        </w:tc>
      </w:tr>
      <w:tr w:rsidR="008B4F9A" w:rsidRPr="00E64288" w:rsidTr="008B4F9A">
        <w:trPr>
          <w:jc w:val="center"/>
        </w:trPr>
        <w:tc>
          <w:tcPr>
            <w:tcW w:w="5427" w:type="dxa"/>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sidRPr="00E64288">
              <w:rPr>
                <w:rStyle w:val="Bodytext21"/>
                <w:rFonts w:ascii="Sylfaen" w:hAnsi="Sylfaen"/>
                <w:sz w:val="24"/>
                <w:szCs w:val="24"/>
              </w:rPr>
              <w:t>5.1.</w:t>
            </w:r>
            <w:r w:rsidR="000111A9" w:rsidRPr="000111A9">
              <w:rPr>
                <w:rStyle w:val="Bodytext21"/>
                <w:rFonts w:ascii="Sylfaen" w:hAnsi="Sylfaen"/>
                <w:sz w:val="24"/>
                <w:szCs w:val="24"/>
              </w:rPr>
              <w:tab/>
            </w:r>
            <w:r w:rsidRPr="00F26DFC">
              <w:rPr>
                <w:rFonts w:ascii="Sylfaen" w:hAnsi="Sylfaen"/>
                <w:spacing w:val="-6"/>
                <w:sz w:val="24"/>
                <w:szCs w:val="24"/>
              </w:rPr>
              <w:t>Եվրասիական տնտեսական բարձրագույն խորհրդի 2014 թվականի մայիսի 29-ի թիվ 68 որոշմամբ հաստատված՝ արտաքին տնտեսական գործունեության կարգավորման համակարգում «մեկ պատուհանի» մեխանիզմի զարգացման հիմնական ուղղությունները (այսուհետ՝ Հիմնական ուղղություններ) իրագործելիս օգտագործվող եզրույթների բառարանի մշակում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5.1</w:t>
            </w: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hուլիս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Միության մարմնի ակտ</w:t>
            </w:r>
          </w:p>
        </w:tc>
      </w:tr>
      <w:tr w:rsidR="008B4F9A" w:rsidRPr="00E64288" w:rsidTr="008B4F9A">
        <w:trPr>
          <w:jc w:val="center"/>
        </w:trPr>
        <w:tc>
          <w:tcPr>
            <w:tcW w:w="5427" w:type="dxa"/>
            <w:shd w:val="clear" w:color="auto" w:fill="FFFFFF"/>
            <w:vAlign w:val="bottom"/>
          </w:tcPr>
          <w:p w:rsidR="005E58D7" w:rsidRPr="00E64288" w:rsidRDefault="000111A9"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5.2.</w:t>
            </w:r>
            <w:r w:rsidRPr="000111A9">
              <w:rPr>
                <w:rStyle w:val="Bodytext21"/>
                <w:rFonts w:ascii="Sylfaen" w:hAnsi="Sylfaen"/>
                <w:sz w:val="24"/>
                <w:szCs w:val="24"/>
              </w:rPr>
              <w:tab/>
            </w:r>
            <w:r w:rsidR="00EC2A2C" w:rsidRPr="00E64288">
              <w:rPr>
                <w:rStyle w:val="Bodytext21"/>
                <w:rFonts w:ascii="Sylfaen" w:hAnsi="Sylfaen"/>
                <w:sz w:val="24"/>
                <w:szCs w:val="24"/>
              </w:rPr>
              <w:t>Հիմնական ուղղություններն իրագործելիս օգտագործվող եզրույթների բառարանի վարում (թարմացում)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5.2</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vAlign w:val="bottom"/>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5.2.1.</w:t>
            </w:r>
            <w:r w:rsidRPr="000111A9">
              <w:rPr>
                <w:rStyle w:val="Bodytext21"/>
                <w:rFonts w:ascii="Sylfaen" w:hAnsi="Sylfaen"/>
                <w:sz w:val="24"/>
                <w:szCs w:val="24"/>
              </w:rPr>
              <w:tab/>
            </w:r>
            <w:r w:rsidR="00EC2A2C" w:rsidRPr="00E64288">
              <w:rPr>
                <w:rStyle w:val="Bodytext21"/>
                <w:rFonts w:ascii="Sylfaen" w:hAnsi="Sylfaen"/>
                <w:sz w:val="24"/>
                <w:szCs w:val="24"/>
              </w:rPr>
              <w:t xml:space="preserve">Եվրասիական տնտեսական հանձնաժողովի կոլեգիայի 2015 թվականի սեպտեմբերի 28-ի թիվ 124 որոշմամբ ստեղծված աշխատանքային խմբի (այսուհետ՝ աշխատանքային խումբ) </w:t>
            </w:r>
            <w:r w:rsidR="008A48AD" w:rsidRPr="00E64288">
              <w:rPr>
                <w:rStyle w:val="Bodytext21"/>
                <w:rFonts w:ascii="Sylfaen" w:hAnsi="Sylfaen"/>
                <w:sz w:val="24"/>
                <w:szCs w:val="24"/>
              </w:rPr>
              <w:t>թեմատիկ բլոկների գործունեության մեջ օգտագործվող</w:t>
            </w:r>
            <w:r w:rsidR="00EC2A2C" w:rsidRPr="00E64288">
              <w:rPr>
                <w:rStyle w:val="Bodytext21"/>
                <w:rFonts w:ascii="Sylfaen" w:hAnsi="Sylfaen"/>
                <w:sz w:val="24"/>
                <w:szCs w:val="24"/>
              </w:rPr>
              <w:t xml:space="preserve"> եզրույթների համեմատական վերլուծություն</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հաշվետվություն</w:t>
            </w:r>
          </w:p>
        </w:tc>
      </w:tr>
      <w:tr w:rsidR="008B4F9A" w:rsidRPr="00E64288" w:rsidTr="008B4F9A">
        <w:trPr>
          <w:jc w:val="center"/>
        </w:trPr>
        <w:tc>
          <w:tcPr>
            <w:tcW w:w="5427" w:type="dxa"/>
            <w:shd w:val="clear" w:color="auto" w:fill="FFFFFF"/>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5.2.2.</w:t>
            </w:r>
            <w:r w:rsidRPr="000111A9">
              <w:rPr>
                <w:rStyle w:val="Bodytext21"/>
                <w:rFonts w:ascii="Sylfaen" w:hAnsi="Sylfaen"/>
                <w:sz w:val="24"/>
                <w:szCs w:val="24"/>
              </w:rPr>
              <w:tab/>
            </w:r>
            <w:r w:rsidR="00EC2A2C" w:rsidRPr="00E64288">
              <w:rPr>
                <w:rStyle w:val="Bodytext21"/>
                <w:rFonts w:ascii="Sylfaen" w:hAnsi="Sylfaen"/>
                <w:sz w:val="24"/>
                <w:szCs w:val="24"/>
              </w:rPr>
              <w:t xml:space="preserve">Եզրույթների բառարանում ներառելու համար առաջարկների նախապատրաստում՝ հաշվի առնելով սույն </w:t>
            </w:r>
            <w:r w:rsidR="00CE3439" w:rsidRPr="00E64288">
              <w:rPr>
                <w:rStyle w:val="Bodytext21"/>
                <w:rFonts w:ascii="Sylfaen" w:hAnsi="Sylfaen"/>
                <w:sz w:val="24"/>
                <w:szCs w:val="24"/>
              </w:rPr>
              <w:t>պ</w:t>
            </w:r>
            <w:r w:rsidR="00EC2A2C" w:rsidRPr="00E64288">
              <w:rPr>
                <w:rStyle w:val="Bodytext21"/>
                <w:rFonts w:ascii="Sylfaen" w:hAnsi="Sylfaen"/>
                <w:sz w:val="24"/>
                <w:szCs w:val="24"/>
              </w:rPr>
              <w:t>լանի 5.2.1 կետում նշված համեմատական վերլուծության կատարման արդյունքները</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8A48AD"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Առաջարկներ՝ բառարանում ներառելու համար</w:t>
            </w:r>
          </w:p>
        </w:tc>
      </w:tr>
      <w:tr w:rsidR="005E58D7" w:rsidRPr="00E64288" w:rsidTr="008B4F9A">
        <w:trPr>
          <w:jc w:val="center"/>
        </w:trPr>
        <w:tc>
          <w:tcPr>
            <w:tcW w:w="16051" w:type="dxa"/>
            <w:gridSpan w:val="5"/>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center"/>
              <w:rPr>
                <w:rFonts w:ascii="Sylfaen" w:hAnsi="Sylfaen"/>
                <w:sz w:val="24"/>
                <w:szCs w:val="24"/>
              </w:rPr>
            </w:pPr>
            <w:r w:rsidRPr="00E64288">
              <w:rPr>
                <w:rStyle w:val="Bodytext23"/>
                <w:rFonts w:ascii="Sylfaen" w:hAnsi="Sylfaen"/>
                <w:sz w:val="24"/>
                <w:szCs w:val="24"/>
              </w:rPr>
              <w:lastRenderedPageBreak/>
              <w:t>6</w:t>
            </w:r>
            <w:r w:rsidRPr="00E64288">
              <w:rPr>
                <w:rStyle w:val="Bodytext21"/>
                <w:rFonts w:ascii="Sylfaen" w:hAnsi="Sylfaen"/>
                <w:sz w:val="24"/>
                <w:szCs w:val="24"/>
              </w:rPr>
              <w:t>. Միջոցառումների պլանի իրագործումն ապահովող կազմակերպչական մեխանիզմ (կառավարման մեխանիզմ)</w:t>
            </w:r>
          </w:p>
        </w:tc>
      </w:tr>
      <w:tr w:rsidR="008B4F9A" w:rsidRPr="00E64288" w:rsidTr="008B4F9A">
        <w:trPr>
          <w:jc w:val="center"/>
        </w:trPr>
        <w:tc>
          <w:tcPr>
            <w:tcW w:w="5427" w:type="dxa"/>
            <w:shd w:val="clear" w:color="auto" w:fill="FFFFFF"/>
          </w:tcPr>
          <w:p w:rsidR="005E58D7" w:rsidRPr="00E64288" w:rsidRDefault="00EC2A2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sidRPr="00E64288">
              <w:rPr>
                <w:rStyle w:val="Bodytext23"/>
                <w:rFonts w:ascii="Sylfaen" w:hAnsi="Sylfaen"/>
                <w:sz w:val="24"/>
                <w:szCs w:val="24"/>
              </w:rPr>
              <w:t>6</w:t>
            </w:r>
            <w:r w:rsidR="000111A9">
              <w:rPr>
                <w:rStyle w:val="Bodytext21"/>
                <w:rFonts w:ascii="Sylfaen" w:hAnsi="Sylfaen"/>
                <w:sz w:val="24"/>
                <w:szCs w:val="24"/>
              </w:rPr>
              <w:t>.1.</w:t>
            </w:r>
            <w:r w:rsidR="000111A9" w:rsidRPr="000111A9">
              <w:rPr>
                <w:rStyle w:val="Bodytext21"/>
                <w:rFonts w:ascii="Sylfaen" w:hAnsi="Sylfaen"/>
                <w:sz w:val="24"/>
                <w:szCs w:val="24"/>
              </w:rPr>
              <w:tab/>
            </w:r>
            <w:r w:rsidRPr="00E64288">
              <w:rPr>
                <w:rStyle w:val="Bodytext21"/>
                <w:rFonts w:ascii="Sylfaen" w:hAnsi="Sylfaen"/>
                <w:sz w:val="24"/>
                <w:szCs w:val="24"/>
              </w:rPr>
              <w:t xml:space="preserve">Հիմնական ուղղությունների իրագործման համար պատասխանատու լիազոր մարմինների սահմանում՝ անդամ պետությունների կողմից </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6.3</w:t>
            </w: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hուլիս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անդամ պետություն</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անդամ պետության կառավարության ակտ</w:t>
            </w:r>
          </w:p>
        </w:tc>
      </w:tr>
      <w:tr w:rsidR="008B4F9A" w:rsidRPr="00E64288" w:rsidTr="008B4F9A">
        <w:trPr>
          <w:jc w:val="center"/>
        </w:trPr>
        <w:tc>
          <w:tcPr>
            <w:tcW w:w="5427" w:type="dxa"/>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sidRPr="00E64288">
              <w:rPr>
                <w:rStyle w:val="Bodytext21"/>
                <w:rFonts w:ascii="Sylfaen" w:hAnsi="Sylfaen"/>
                <w:sz w:val="24"/>
                <w:szCs w:val="24"/>
              </w:rPr>
              <w:t>6.2.</w:t>
            </w:r>
            <w:r w:rsidR="000111A9" w:rsidRPr="000111A9">
              <w:rPr>
                <w:rStyle w:val="Bodytext21"/>
                <w:rFonts w:ascii="Sylfaen" w:hAnsi="Sylfaen"/>
                <w:sz w:val="24"/>
                <w:szCs w:val="24"/>
              </w:rPr>
              <w:tab/>
            </w:r>
            <w:r w:rsidRPr="00E64288">
              <w:rPr>
                <w:rFonts w:ascii="Sylfaen" w:hAnsi="Sylfaen"/>
                <w:sz w:val="24"/>
                <w:szCs w:val="24"/>
              </w:rPr>
              <w:t xml:space="preserve">Եվրասիական տնտեսական բարձրագույն խորհրդի 2015 թվականի մայիսի 8-ի թիվ 19 որոշմամբ հաստատված՝ 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 (այսուհետ՝ միջոցառումների պլան) եւ սույն </w:t>
            </w:r>
            <w:r w:rsidR="00CE3439" w:rsidRPr="00E64288">
              <w:rPr>
                <w:rFonts w:ascii="Sylfaen" w:hAnsi="Sylfaen"/>
                <w:sz w:val="24"/>
                <w:szCs w:val="24"/>
              </w:rPr>
              <w:t>պ</w:t>
            </w:r>
            <w:r w:rsidRPr="00E64288">
              <w:rPr>
                <w:rFonts w:ascii="Sylfaen" w:hAnsi="Sylfaen"/>
                <w:sz w:val="24"/>
                <w:szCs w:val="24"/>
              </w:rPr>
              <w:t xml:space="preserve">լանի իրագործման համար լիազորված </w:t>
            </w:r>
            <w:r w:rsidRPr="00E64288">
              <w:rPr>
                <w:rFonts w:ascii="Sylfaen" w:hAnsi="Sylfaen"/>
                <w:sz w:val="24"/>
                <w:szCs w:val="24"/>
              </w:rPr>
              <w:lastRenderedPageBreak/>
              <w:t>համակարգող (խորհրդատվական) մարմինների ստեղծում՝ անդամ պետությունների կողմից</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lastRenderedPageBreak/>
              <w:t>կետ 6.4</w:t>
            </w: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hուլիս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անդամ պետություն</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անդամ պետության կառավարության ակտ</w:t>
            </w:r>
          </w:p>
        </w:tc>
      </w:tr>
      <w:tr w:rsidR="008B4F9A" w:rsidRPr="00E64288" w:rsidTr="008B4F9A">
        <w:trPr>
          <w:jc w:val="center"/>
        </w:trPr>
        <w:tc>
          <w:tcPr>
            <w:tcW w:w="5427" w:type="dxa"/>
            <w:shd w:val="clear" w:color="auto" w:fill="FFFFFF"/>
          </w:tcPr>
          <w:p w:rsidR="005E58D7" w:rsidRPr="00E64288" w:rsidRDefault="000111A9"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lastRenderedPageBreak/>
              <w:t>6.3.</w:t>
            </w:r>
            <w:r w:rsidRPr="000111A9">
              <w:rPr>
                <w:rStyle w:val="Bodytext21"/>
                <w:rFonts w:ascii="Sylfaen" w:hAnsi="Sylfaen"/>
                <w:sz w:val="24"/>
                <w:szCs w:val="24"/>
              </w:rPr>
              <w:tab/>
            </w:r>
            <w:r w:rsidR="00EC2A2C" w:rsidRPr="00E64288">
              <w:rPr>
                <w:rStyle w:val="Bodytext21"/>
                <w:rFonts w:ascii="Sylfaen" w:hAnsi="Sylfaen"/>
                <w:sz w:val="24"/>
                <w:szCs w:val="24"/>
              </w:rPr>
              <w:t>Կառավարման մեխանիզմի կազմակերպչական կառուցվածքի կատարելագործում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6.5</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6.3.1.</w:t>
            </w:r>
            <w:r w:rsidRPr="000111A9">
              <w:rPr>
                <w:rStyle w:val="Bodytext21"/>
                <w:rFonts w:ascii="Sylfaen" w:hAnsi="Sylfaen"/>
                <w:sz w:val="24"/>
                <w:szCs w:val="24"/>
              </w:rPr>
              <w:tab/>
            </w:r>
            <w:r w:rsidR="00EC2A2C" w:rsidRPr="00E64288">
              <w:rPr>
                <w:rStyle w:val="Bodytext21"/>
                <w:rFonts w:ascii="Sylfaen" w:hAnsi="Sylfaen"/>
                <w:sz w:val="24"/>
                <w:szCs w:val="24"/>
              </w:rPr>
              <w:t>Աշխատանքային խմբի աշխատանքի կանոնակարգի մշակում եւ հաստատում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օգոստոս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աշխատանքային խմբի կանոնակարգ</w:t>
            </w:r>
          </w:p>
        </w:tc>
      </w:tr>
      <w:tr w:rsidR="008B4F9A" w:rsidRPr="00E64288" w:rsidTr="008B4F9A">
        <w:trPr>
          <w:jc w:val="center"/>
        </w:trPr>
        <w:tc>
          <w:tcPr>
            <w:tcW w:w="5427" w:type="dxa"/>
            <w:shd w:val="clear" w:color="auto" w:fill="FFFFFF"/>
            <w:vAlign w:val="bottom"/>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6.3.2.</w:t>
            </w:r>
            <w:r w:rsidRPr="000111A9">
              <w:rPr>
                <w:rStyle w:val="Bodytext21"/>
                <w:rFonts w:ascii="Sylfaen" w:hAnsi="Sylfaen"/>
                <w:sz w:val="24"/>
                <w:szCs w:val="24"/>
              </w:rPr>
              <w:tab/>
            </w:r>
            <w:r w:rsidR="00EC2A2C" w:rsidRPr="00E64288">
              <w:rPr>
                <w:rStyle w:val="Bodytext21"/>
                <w:rFonts w:ascii="Sylfaen" w:hAnsi="Sylfaen"/>
                <w:sz w:val="24"/>
                <w:szCs w:val="24"/>
              </w:rPr>
              <w:t>Միջոցառումների պլանի կատարումն ապահովող մեխանիզմի կազմակերպչական կառուցվածքի մասին դրույթի արդիականացում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Հանձնաժողովի կոլեգիայի ակտեր</w:t>
            </w:r>
          </w:p>
        </w:tc>
      </w:tr>
      <w:tr w:rsidR="008B4F9A" w:rsidRPr="00E64288" w:rsidTr="008B4F9A">
        <w:trPr>
          <w:jc w:val="center"/>
        </w:trPr>
        <w:tc>
          <w:tcPr>
            <w:tcW w:w="5427" w:type="dxa"/>
            <w:shd w:val="clear" w:color="auto" w:fill="FFFFFF"/>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lastRenderedPageBreak/>
              <w:t>6.3.3.</w:t>
            </w:r>
            <w:r w:rsidRPr="000111A9">
              <w:rPr>
                <w:rStyle w:val="Bodytext21"/>
                <w:rFonts w:ascii="Sylfaen" w:hAnsi="Sylfaen"/>
                <w:sz w:val="24"/>
                <w:szCs w:val="24"/>
              </w:rPr>
              <w:tab/>
            </w:r>
            <w:r w:rsidR="00EC2A2C" w:rsidRPr="00E64288">
              <w:rPr>
                <w:rStyle w:val="Bodytext21"/>
                <w:rFonts w:ascii="Sylfaen" w:hAnsi="Sylfaen"/>
                <w:sz w:val="24"/>
                <w:szCs w:val="24"/>
              </w:rPr>
              <w:t>Աշխատանքային խմբի կազմի թարմացում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Հանձնաժողովի կոլեգիայի ակտեր</w:t>
            </w:r>
          </w:p>
        </w:tc>
      </w:tr>
      <w:tr w:rsidR="005E58D7" w:rsidRPr="00E64288" w:rsidTr="008B4F9A">
        <w:trPr>
          <w:jc w:val="center"/>
        </w:trPr>
        <w:tc>
          <w:tcPr>
            <w:tcW w:w="16051" w:type="dxa"/>
            <w:gridSpan w:val="5"/>
            <w:shd w:val="clear" w:color="auto" w:fill="FFFFFF"/>
            <w:vAlign w:val="bottom"/>
          </w:tcPr>
          <w:p w:rsidR="005E58D7" w:rsidRPr="00E64288" w:rsidRDefault="00EC2A2C" w:rsidP="005E74D1">
            <w:pPr>
              <w:pStyle w:val="Bodytext20"/>
              <w:shd w:val="clear" w:color="auto" w:fill="auto"/>
              <w:tabs>
                <w:tab w:val="left" w:pos="851"/>
              </w:tabs>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7. Կազմակերպչական հարցեր</w:t>
            </w:r>
          </w:p>
        </w:tc>
      </w:tr>
      <w:tr w:rsidR="008B4F9A" w:rsidRPr="00E64288" w:rsidTr="008B4F9A">
        <w:trPr>
          <w:jc w:val="center"/>
        </w:trPr>
        <w:tc>
          <w:tcPr>
            <w:tcW w:w="5427" w:type="dxa"/>
            <w:shd w:val="clear" w:color="auto" w:fill="FFFFFF"/>
            <w:vAlign w:val="bottom"/>
          </w:tcPr>
          <w:p w:rsidR="005E58D7" w:rsidRPr="00E64288" w:rsidRDefault="000111A9"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7.1.</w:t>
            </w:r>
            <w:r w:rsidRPr="000111A9">
              <w:rPr>
                <w:rStyle w:val="Bodytext21"/>
                <w:rFonts w:ascii="Sylfaen" w:hAnsi="Sylfaen"/>
                <w:sz w:val="24"/>
                <w:szCs w:val="24"/>
              </w:rPr>
              <w:tab/>
            </w:r>
            <w:r w:rsidR="00EC2A2C" w:rsidRPr="00E64288">
              <w:rPr>
                <w:rStyle w:val="Bodytext21"/>
                <w:rFonts w:ascii="Sylfaen" w:hAnsi="Sylfaen"/>
                <w:sz w:val="24"/>
                <w:szCs w:val="24"/>
              </w:rPr>
              <w:t>«Մեկ պատուհանի» մեխանիզմի մասսայականացում. աշխատանք ԶԼՄ-ների հետ, Հիմնական ուղղությունների եւ միջոցառումների պլանի իրագործման վերաբերյալ բաց քննարկումների, սեմինարների, համաժողովների կազմակերպում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7.1</w:t>
            </w: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համաժողովների կազմակերպում, հոդվածների նախապատրաստում, ժողովածուների, բրոշյուրների, տեղեկատուների հրատարակում</w:t>
            </w:r>
          </w:p>
        </w:tc>
      </w:tr>
      <w:tr w:rsidR="008B4F9A" w:rsidRPr="00E64288" w:rsidTr="008B4F9A">
        <w:trPr>
          <w:jc w:val="center"/>
        </w:trPr>
        <w:tc>
          <w:tcPr>
            <w:tcW w:w="5427" w:type="dxa"/>
            <w:shd w:val="clear" w:color="auto" w:fill="FFFFFF"/>
          </w:tcPr>
          <w:p w:rsidR="005E58D7" w:rsidRPr="00E64288" w:rsidRDefault="000111A9" w:rsidP="00947958">
            <w:pPr>
              <w:pStyle w:val="Bodytext20"/>
              <w:shd w:val="clear" w:color="auto" w:fill="auto"/>
              <w:tabs>
                <w:tab w:val="left" w:pos="851"/>
              </w:tabs>
              <w:spacing w:before="0" w:after="160" w:line="360" w:lineRule="auto"/>
              <w:ind w:left="592" w:right="116"/>
              <w:jc w:val="left"/>
              <w:rPr>
                <w:rFonts w:ascii="Sylfaen" w:hAnsi="Sylfaen"/>
                <w:sz w:val="24"/>
                <w:szCs w:val="24"/>
              </w:rPr>
            </w:pPr>
            <w:r>
              <w:rPr>
                <w:rStyle w:val="Bodytext21"/>
                <w:rFonts w:ascii="Sylfaen" w:hAnsi="Sylfaen"/>
                <w:sz w:val="24"/>
                <w:szCs w:val="24"/>
              </w:rPr>
              <w:t>7.1.1.</w:t>
            </w:r>
            <w:r w:rsidRPr="003B3650">
              <w:rPr>
                <w:rStyle w:val="Bodytext21"/>
                <w:rFonts w:ascii="Sylfaen" w:hAnsi="Sylfaen"/>
                <w:sz w:val="24"/>
                <w:szCs w:val="24"/>
              </w:rPr>
              <w:tab/>
            </w:r>
            <w:r w:rsidR="00EC2A2C" w:rsidRPr="00E64288">
              <w:rPr>
                <w:rStyle w:val="Bodytext21"/>
                <w:rFonts w:ascii="Sylfaen" w:hAnsi="Sylfaen"/>
                <w:sz w:val="24"/>
                <w:szCs w:val="24"/>
              </w:rPr>
              <w:t xml:space="preserve">«Մեկ պատուհանի» մեխանիզմի շրջանակներում էլեկտրոնային </w:t>
            </w:r>
            <w:r w:rsidR="00EC2A2C" w:rsidRPr="00E64288">
              <w:rPr>
                <w:rStyle w:val="Bodytext21"/>
                <w:rFonts w:ascii="Sylfaen" w:hAnsi="Sylfaen"/>
                <w:sz w:val="24"/>
                <w:szCs w:val="24"/>
              </w:rPr>
              <w:lastRenderedPageBreak/>
              <w:t>հայտարարագրման զարգացման արդիական թեմաներով միջազգային համաժողովի անցկացում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սեպտեմբեր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5E58D7" w:rsidP="00761F77">
            <w:pPr>
              <w:pStyle w:val="Bodytext20"/>
              <w:shd w:val="clear" w:color="auto" w:fill="auto"/>
              <w:spacing w:before="0" w:after="160" w:line="360" w:lineRule="auto"/>
              <w:ind w:left="112" w:right="116"/>
              <w:jc w:val="left"/>
              <w:rPr>
                <w:rFonts w:ascii="Sylfaen" w:hAnsi="Sylfaen"/>
                <w:sz w:val="24"/>
                <w:szCs w:val="24"/>
              </w:rPr>
            </w:pPr>
          </w:p>
        </w:tc>
      </w:tr>
      <w:tr w:rsidR="008B4F9A" w:rsidRPr="00E64288" w:rsidTr="008B4F9A">
        <w:trPr>
          <w:jc w:val="center"/>
        </w:trPr>
        <w:tc>
          <w:tcPr>
            <w:tcW w:w="5427" w:type="dxa"/>
            <w:shd w:val="clear" w:color="auto" w:fill="FFFFFF"/>
          </w:tcPr>
          <w:p w:rsidR="005E58D7" w:rsidRPr="00E64288" w:rsidRDefault="00D02B52"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lastRenderedPageBreak/>
              <w:t>7.2.</w:t>
            </w:r>
            <w:r w:rsidRPr="00D02B52">
              <w:rPr>
                <w:rStyle w:val="Bodytext21"/>
                <w:rFonts w:ascii="Sylfaen" w:hAnsi="Sylfaen"/>
                <w:sz w:val="24"/>
                <w:szCs w:val="24"/>
              </w:rPr>
              <w:tab/>
            </w:r>
            <w:r w:rsidR="00EC2A2C" w:rsidRPr="00E64288">
              <w:rPr>
                <w:rStyle w:val="Bodytext21"/>
                <w:rFonts w:ascii="Sylfaen" w:hAnsi="Sylfaen"/>
                <w:sz w:val="24"/>
                <w:szCs w:val="24"/>
              </w:rPr>
              <w:t>Հիմնական ուղղությունների եւ միջոցառումների պլանի իրագործման մասով կատարված աշխատանքի վերաբերյալ հաշվետվությունների նախապատրաստում եւ հրապարակում</w:t>
            </w:r>
          </w:p>
        </w:tc>
        <w:tc>
          <w:tcPr>
            <w:tcW w:w="2405"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կետ 7.2</w:t>
            </w: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 xml:space="preserve">«Ինտերնետ» տեղեկատվական-հեռահաղորդակցության ցանցում (այսուհետ՝ «Ինտերնետ» ցանց)՝ Հանձնաժողովի կայքում հրապարակված՝ համաժողովի ընթացքում ներկայացված առաջարկություններ </w:t>
            </w:r>
          </w:p>
        </w:tc>
      </w:tr>
      <w:tr w:rsidR="008B4F9A" w:rsidRPr="00E64288" w:rsidTr="008B4F9A">
        <w:trPr>
          <w:jc w:val="center"/>
        </w:trPr>
        <w:tc>
          <w:tcPr>
            <w:tcW w:w="5427" w:type="dxa"/>
            <w:shd w:val="clear" w:color="auto" w:fill="FFFFFF"/>
            <w:vAlign w:val="bottom"/>
          </w:tcPr>
          <w:p w:rsidR="005E58D7" w:rsidRPr="00E64288" w:rsidRDefault="00D02B52" w:rsidP="009E310E">
            <w:pPr>
              <w:pStyle w:val="Bodytext20"/>
              <w:shd w:val="clear" w:color="auto" w:fill="auto"/>
              <w:tabs>
                <w:tab w:val="left" w:pos="851"/>
              </w:tabs>
              <w:spacing w:before="0" w:after="160" w:line="384" w:lineRule="auto"/>
              <w:ind w:left="590" w:right="113"/>
              <w:jc w:val="left"/>
              <w:rPr>
                <w:rFonts w:ascii="Sylfaen" w:hAnsi="Sylfaen"/>
                <w:sz w:val="24"/>
                <w:szCs w:val="24"/>
              </w:rPr>
            </w:pPr>
            <w:r>
              <w:rPr>
                <w:rStyle w:val="Bodytext21"/>
                <w:rFonts w:ascii="Sylfaen" w:hAnsi="Sylfaen"/>
                <w:sz w:val="24"/>
                <w:szCs w:val="24"/>
              </w:rPr>
              <w:lastRenderedPageBreak/>
              <w:t>7.2.1.</w:t>
            </w:r>
            <w:r w:rsidRPr="00D02B52">
              <w:rPr>
                <w:rStyle w:val="Bodytext21"/>
                <w:rFonts w:ascii="Sylfaen" w:hAnsi="Sylfaen"/>
                <w:sz w:val="24"/>
                <w:szCs w:val="24"/>
              </w:rPr>
              <w:tab/>
            </w:r>
            <w:r w:rsidR="00EC2A2C" w:rsidRPr="00E64288">
              <w:rPr>
                <w:rStyle w:val="Bodytext21"/>
                <w:rFonts w:ascii="Sylfaen" w:hAnsi="Sylfaen"/>
                <w:sz w:val="24"/>
                <w:szCs w:val="24"/>
              </w:rPr>
              <w:t>2015 թվականի մանրամասնեցված պլանի կատարման վերաբերյալ հաշվետվության նախապատրաստում եւ հրապարակում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հունիս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«Ինտերնետ» ցանցում՝ Հանձնաժողովի կայքում հրապարակում</w:t>
            </w:r>
          </w:p>
        </w:tc>
      </w:tr>
      <w:tr w:rsidR="008B4F9A" w:rsidRPr="00E64288" w:rsidTr="008B4F9A">
        <w:trPr>
          <w:jc w:val="center"/>
        </w:trPr>
        <w:tc>
          <w:tcPr>
            <w:tcW w:w="5427" w:type="dxa"/>
            <w:shd w:val="clear" w:color="auto" w:fill="FFFFFF"/>
            <w:vAlign w:val="bottom"/>
          </w:tcPr>
          <w:p w:rsidR="005E58D7" w:rsidRPr="00E64288" w:rsidRDefault="00D02B52" w:rsidP="009E310E">
            <w:pPr>
              <w:pStyle w:val="Bodytext20"/>
              <w:shd w:val="clear" w:color="auto" w:fill="auto"/>
              <w:tabs>
                <w:tab w:val="left" w:pos="851"/>
              </w:tabs>
              <w:spacing w:before="0" w:after="160" w:line="384" w:lineRule="auto"/>
              <w:ind w:left="590" w:right="113"/>
              <w:jc w:val="left"/>
              <w:rPr>
                <w:rFonts w:ascii="Sylfaen" w:hAnsi="Sylfaen"/>
                <w:sz w:val="24"/>
                <w:szCs w:val="24"/>
              </w:rPr>
            </w:pPr>
            <w:r>
              <w:rPr>
                <w:rStyle w:val="Bodytext21"/>
                <w:rFonts w:ascii="Sylfaen" w:hAnsi="Sylfaen"/>
                <w:sz w:val="24"/>
                <w:szCs w:val="24"/>
              </w:rPr>
              <w:t>7.2.2.</w:t>
            </w:r>
            <w:r w:rsidRPr="00D02B52">
              <w:rPr>
                <w:rStyle w:val="Bodytext21"/>
                <w:rFonts w:ascii="Sylfaen" w:hAnsi="Sylfaen"/>
                <w:sz w:val="24"/>
                <w:szCs w:val="24"/>
              </w:rPr>
              <w:tab/>
            </w:r>
            <w:r w:rsidR="00EC2A2C" w:rsidRPr="00E64288">
              <w:rPr>
                <w:rStyle w:val="Bodytext21"/>
                <w:rFonts w:ascii="Sylfaen" w:hAnsi="Sylfaen"/>
                <w:sz w:val="24"/>
                <w:szCs w:val="24"/>
              </w:rPr>
              <w:t>Հիմնական ուղղությունների իրագործման հարցերի վերաբերյալ առանձնացված թեմատիկ տեղեկատվական ռեսուրսի ստեղծում «Ինտերնետ» ցանցում՝ Միության պորտալում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1"/>
                <w:rFonts w:ascii="Sylfaen" w:hAnsi="Sylfaen"/>
                <w:sz w:val="24"/>
                <w:szCs w:val="24"/>
              </w:rPr>
              <w:t>դեկտեմբեր</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Հանձնաժողով</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Style w:val="Bodytext21"/>
                <w:rFonts w:ascii="Sylfaen" w:hAnsi="Sylfaen"/>
                <w:sz w:val="24"/>
                <w:szCs w:val="24"/>
              </w:rPr>
              <w:t>«Ինտերնետ» ցանցում՝ Միության պորտալում թեմատիկ բաժին</w:t>
            </w:r>
          </w:p>
        </w:tc>
      </w:tr>
      <w:tr w:rsidR="008B4F9A" w:rsidRPr="00E64288" w:rsidTr="008B4F9A">
        <w:trPr>
          <w:jc w:val="center"/>
        </w:trPr>
        <w:tc>
          <w:tcPr>
            <w:tcW w:w="5427" w:type="dxa"/>
            <w:shd w:val="clear" w:color="auto" w:fill="FFFFFF"/>
            <w:vAlign w:val="bottom"/>
          </w:tcPr>
          <w:p w:rsidR="005E58D7" w:rsidRPr="00E64288" w:rsidRDefault="00D02B52"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Style w:val="Bodytext21"/>
                <w:rFonts w:ascii="Sylfaen" w:hAnsi="Sylfaen"/>
                <w:sz w:val="24"/>
                <w:szCs w:val="24"/>
              </w:rPr>
              <w:t>7.3.</w:t>
            </w:r>
            <w:r>
              <w:rPr>
                <w:rStyle w:val="Bodytext21"/>
                <w:rFonts w:ascii="Sylfaen" w:hAnsi="Sylfaen"/>
                <w:sz w:val="24"/>
                <w:szCs w:val="24"/>
                <w:lang w:val="en-US"/>
              </w:rPr>
              <w:tab/>
            </w:r>
            <w:r w:rsidR="00EC2A2C" w:rsidRPr="00E64288">
              <w:rPr>
                <w:rStyle w:val="Bodytext21"/>
                <w:rFonts w:ascii="Sylfaen" w:hAnsi="Sylfaen"/>
                <w:sz w:val="24"/>
                <w:szCs w:val="24"/>
              </w:rPr>
              <w:t>Աշխատանքային խմբի նիստերի կազմակերպում</w:t>
            </w:r>
          </w:p>
        </w:tc>
        <w:tc>
          <w:tcPr>
            <w:tcW w:w="2405" w:type="dxa"/>
            <w:shd w:val="clear" w:color="auto" w:fill="FFFFFF"/>
          </w:tcPr>
          <w:p w:rsidR="005E58D7" w:rsidRPr="00E64288" w:rsidRDefault="00BF0960" w:rsidP="00761F77">
            <w:pPr>
              <w:pStyle w:val="Bodytext20"/>
              <w:shd w:val="clear" w:color="auto" w:fill="auto"/>
              <w:spacing w:before="0" w:after="160" w:line="360" w:lineRule="auto"/>
              <w:ind w:left="112" w:right="116"/>
              <w:jc w:val="center"/>
              <w:rPr>
                <w:rFonts w:ascii="Sylfaen" w:hAnsi="Sylfaen"/>
                <w:sz w:val="24"/>
                <w:szCs w:val="24"/>
              </w:rPr>
            </w:pPr>
            <w:r w:rsidRPr="00E64288">
              <w:rPr>
                <w:rStyle w:val="Bodytext2Verdana"/>
                <w:rFonts w:ascii="Sylfaen" w:hAnsi="Sylfaen"/>
                <w:sz w:val="24"/>
                <w:szCs w:val="24"/>
              </w:rPr>
              <w:t>—</w:t>
            </w:r>
          </w:p>
        </w:tc>
        <w:tc>
          <w:tcPr>
            <w:tcW w:w="1843" w:type="dxa"/>
            <w:shd w:val="clear" w:color="auto" w:fill="FFFFFF"/>
          </w:tcPr>
          <w:p w:rsidR="005E58D7" w:rsidRPr="00E64288" w:rsidRDefault="005E58D7" w:rsidP="00761F77">
            <w:pPr>
              <w:spacing w:after="160" w:line="360" w:lineRule="auto"/>
              <w:ind w:left="112" w:right="116"/>
            </w:pPr>
          </w:p>
        </w:tc>
        <w:tc>
          <w:tcPr>
            <w:tcW w:w="3115" w:type="dxa"/>
            <w:shd w:val="clear" w:color="auto" w:fill="FFFFFF"/>
          </w:tcPr>
          <w:p w:rsidR="005E58D7" w:rsidRPr="00E64288" w:rsidRDefault="005E58D7" w:rsidP="00761F77">
            <w:pPr>
              <w:spacing w:after="160" w:line="360" w:lineRule="auto"/>
              <w:ind w:left="112" w:right="116"/>
            </w:pPr>
          </w:p>
        </w:tc>
        <w:tc>
          <w:tcPr>
            <w:tcW w:w="3261" w:type="dxa"/>
            <w:shd w:val="clear" w:color="auto" w:fill="FFFFFF"/>
          </w:tcPr>
          <w:p w:rsidR="005E58D7" w:rsidRPr="00E64288" w:rsidRDefault="005E58D7" w:rsidP="00761F77">
            <w:pPr>
              <w:spacing w:after="160" w:line="360" w:lineRule="auto"/>
              <w:ind w:left="112" w:right="116"/>
            </w:pPr>
          </w:p>
        </w:tc>
      </w:tr>
      <w:tr w:rsidR="008B4F9A" w:rsidRPr="00E64288" w:rsidTr="008B4F9A">
        <w:trPr>
          <w:jc w:val="center"/>
        </w:trPr>
        <w:tc>
          <w:tcPr>
            <w:tcW w:w="5427" w:type="dxa"/>
            <w:shd w:val="clear" w:color="auto" w:fill="FFFFFF"/>
          </w:tcPr>
          <w:p w:rsidR="005E58D7" w:rsidRPr="00E64288" w:rsidRDefault="00814D56" w:rsidP="008744A8">
            <w:pPr>
              <w:pStyle w:val="Bodytext20"/>
              <w:shd w:val="clear" w:color="auto" w:fill="auto"/>
              <w:tabs>
                <w:tab w:val="left" w:pos="851"/>
              </w:tabs>
              <w:spacing w:before="0" w:after="160" w:line="360" w:lineRule="auto"/>
              <w:ind w:left="592" w:right="116"/>
              <w:jc w:val="left"/>
              <w:rPr>
                <w:rFonts w:ascii="Sylfaen" w:hAnsi="Sylfaen"/>
                <w:sz w:val="24"/>
                <w:szCs w:val="24"/>
              </w:rPr>
            </w:pPr>
            <w:r>
              <w:rPr>
                <w:rFonts w:ascii="Sylfaen" w:hAnsi="Sylfaen"/>
                <w:sz w:val="24"/>
                <w:szCs w:val="24"/>
              </w:rPr>
              <w:lastRenderedPageBreak/>
              <w:t>7.3.1.</w:t>
            </w:r>
            <w:r w:rsidRPr="00814D56">
              <w:rPr>
                <w:rFonts w:ascii="Sylfaen" w:hAnsi="Sylfaen"/>
                <w:sz w:val="24"/>
                <w:szCs w:val="24"/>
              </w:rPr>
              <w:tab/>
            </w:r>
            <w:r w:rsidR="00EC2A2C" w:rsidRPr="00E64288">
              <w:rPr>
                <w:rFonts w:ascii="Sylfaen" w:hAnsi="Sylfaen"/>
                <w:sz w:val="24"/>
                <w:szCs w:val="24"/>
              </w:rPr>
              <w:t>Աշխատանքային խմբի նիստ</w:t>
            </w:r>
            <w:r w:rsidR="00CE3439" w:rsidRPr="00E64288">
              <w:rPr>
                <w:rFonts w:ascii="Sylfaen" w:hAnsi="Sylfaen"/>
                <w:sz w:val="24"/>
                <w:szCs w:val="24"/>
              </w:rPr>
              <w:t>՝</w:t>
            </w:r>
            <w:r w:rsidR="00EC2A2C" w:rsidRPr="00E64288">
              <w:rPr>
                <w:rFonts w:ascii="Sylfaen" w:hAnsi="Sylfaen"/>
                <w:sz w:val="24"/>
                <w:szCs w:val="24"/>
              </w:rPr>
              <w:t xml:space="preserve"> ամբողջ կազմով</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տարվա ընթացքում</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նիստերի արձանագրություններ</w:t>
            </w:r>
          </w:p>
        </w:tc>
      </w:tr>
      <w:tr w:rsidR="008B4F9A" w:rsidRPr="00E64288" w:rsidTr="008B4F9A">
        <w:trPr>
          <w:jc w:val="center"/>
        </w:trPr>
        <w:tc>
          <w:tcPr>
            <w:tcW w:w="5427" w:type="dxa"/>
            <w:shd w:val="clear" w:color="auto" w:fill="FFFFFF"/>
            <w:vAlign w:val="center"/>
          </w:tcPr>
          <w:p w:rsidR="005E58D7" w:rsidRPr="00E64288" w:rsidRDefault="00814D56" w:rsidP="008744A8">
            <w:pPr>
              <w:pStyle w:val="Bodytext20"/>
              <w:shd w:val="clear" w:color="auto" w:fill="auto"/>
              <w:tabs>
                <w:tab w:val="left" w:pos="851"/>
              </w:tabs>
              <w:spacing w:before="0" w:after="160" w:line="360" w:lineRule="auto"/>
              <w:ind w:left="592" w:right="116"/>
              <w:jc w:val="left"/>
              <w:rPr>
                <w:rFonts w:ascii="Sylfaen" w:hAnsi="Sylfaen"/>
                <w:sz w:val="24"/>
                <w:szCs w:val="24"/>
              </w:rPr>
            </w:pPr>
            <w:r>
              <w:rPr>
                <w:rFonts w:ascii="Sylfaen" w:hAnsi="Sylfaen"/>
                <w:sz w:val="24"/>
                <w:szCs w:val="24"/>
              </w:rPr>
              <w:t>7.3.2.</w:t>
            </w:r>
            <w:r w:rsidRPr="00814D56">
              <w:rPr>
                <w:rFonts w:ascii="Sylfaen" w:hAnsi="Sylfaen"/>
                <w:sz w:val="24"/>
                <w:szCs w:val="24"/>
              </w:rPr>
              <w:tab/>
            </w:r>
            <w:r w:rsidR="00EC2A2C" w:rsidRPr="00E64288">
              <w:rPr>
                <w:rFonts w:ascii="Sylfaen" w:hAnsi="Sylfaen"/>
                <w:sz w:val="24"/>
                <w:szCs w:val="24"/>
              </w:rPr>
              <w:t>Աշխատանքային խմբի նիստեր</w:t>
            </w:r>
            <w:r w:rsidR="00CE3439" w:rsidRPr="00E64288">
              <w:rPr>
                <w:rFonts w:ascii="Sylfaen" w:hAnsi="Sylfaen"/>
                <w:sz w:val="24"/>
                <w:szCs w:val="24"/>
              </w:rPr>
              <w:t>՝</w:t>
            </w:r>
            <w:r w:rsidR="00EC2A2C" w:rsidRPr="00E64288">
              <w:rPr>
                <w:rFonts w:ascii="Sylfaen" w:hAnsi="Sylfaen"/>
                <w:sz w:val="24"/>
                <w:szCs w:val="24"/>
              </w:rPr>
              <w:t xml:space="preserve"> համակարգող խորհրդի կազմով</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տարվա ընթացքում</w:t>
            </w:r>
          </w:p>
        </w:tc>
        <w:tc>
          <w:tcPr>
            <w:tcW w:w="3115" w:type="dxa"/>
            <w:shd w:val="clear" w:color="auto" w:fill="FFFFFF"/>
            <w:vAlign w:val="center"/>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նիստերի արձանագրություններ</w:t>
            </w:r>
          </w:p>
        </w:tc>
      </w:tr>
      <w:tr w:rsidR="008B4F9A" w:rsidRPr="00E64288" w:rsidTr="008B4F9A">
        <w:trPr>
          <w:jc w:val="center"/>
        </w:trPr>
        <w:tc>
          <w:tcPr>
            <w:tcW w:w="5427" w:type="dxa"/>
            <w:shd w:val="clear" w:color="auto" w:fill="FFFFFF"/>
          </w:tcPr>
          <w:p w:rsidR="005E58D7" w:rsidRPr="00E64288" w:rsidRDefault="00814D56" w:rsidP="003641A3">
            <w:pPr>
              <w:pStyle w:val="Bodytext20"/>
              <w:shd w:val="clear" w:color="auto" w:fill="auto"/>
              <w:tabs>
                <w:tab w:val="left" w:pos="851"/>
              </w:tabs>
              <w:spacing w:before="0" w:after="160" w:line="360" w:lineRule="auto"/>
              <w:ind w:left="592" w:right="116"/>
              <w:jc w:val="left"/>
              <w:rPr>
                <w:rFonts w:ascii="Sylfaen" w:hAnsi="Sylfaen"/>
                <w:sz w:val="24"/>
                <w:szCs w:val="24"/>
              </w:rPr>
            </w:pPr>
            <w:r>
              <w:rPr>
                <w:rFonts w:ascii="Sylfaen" w:hAnsi="Sylfaen"/>
                <w:sz w:val="24"/>
                <w:szCs w:val="24"/>
              </w:rPr>
              <w:t>7.3.3.</w:t>
            </w:r>
            <w:r w:rsidRPr="00814D56">
              <w:rPr>
                <w:rFonts w:ascii="Sylfaen" w:hAnsi="Sylfaen"/>
                <w:sz w:val="24"/>
                <w:szCs w:val="24"/>
              </w:rPr>
              <w:tab/>
            </w:r>
            <w:r w:rsidR="00EC2A2C" w:rsidRPr="00E64288">
              <w:rPr>
                <w:rFonts w:ascii="Sylfaen" w:hAnsi="Sylfaen"/>
                <w:sz w:val="24"/>
                <w:szCs w:val="24"/>
              </w:rPr>
              <w:t>Աշխատանքային խմբի նիստեր առանձին տեմատիկ բլոկների կազմով</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եռամսյակային պարբերականությամբ</w:t>
            </w:r>
          </w:p>
        </w:tc>
        <w:tc>
          <w:tcPr>
            <w:tcW w:w="3115"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նիստերի արձանագրություններ</w:t>
            </w:r>
          </w:p>
        </w:tc>
      </w:tr>
      <w:tr w:rsidR="008B4F9A" w:rsidRPr="00E64288" w:rsidTr="008B4F9A">
        <w:trPr>
          <w:jc w:val="center"/>
        </w:trPr>
        <w:tc>
          <w:tcPr>
            <w:tcW w:w="5427" w:type="dxa"/>
            <w:shd w:val="clear" w:color="auto" w:fill="FFFFFF"/>
            <w:vAlign w:val="bottom"/>
          </w:tcPr>
          <w:p w:rsidR="005E58D7" w:rsidRPr="00E64288" w:rsidRDefault="00814D56"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Fonts w:ascii="Sylfaen" w:hAnsi="Sylfaen"/>
                <w:sz w:val="24"/>
                <w:szCs w:val="24"/>
              </w:rPr>
              <w:t>7.4.</w:t>
            </w:r>
            <w:r w:rsidRPr="00814D56">
              <w:rPr>
                <w:rFonts w:ascii="Sylfaen" w:hAnsi="Sylfaen"/>
                <w:sz w:val="24"/>
                <w:szCs w:val="24"/>
              </w:rPr>
              <w:tab/>
            </w:r>
            <w:r w:rsidR="00EC2A2C" w:rsidRPr="00E64288">
              <w:rPr>
                <w:rFonts w:ascii="Sylfaen" w:hAnsi="Sylfaen"/>
                <w:sz w:val="24"/>
                <w:szCs w:val="24"/>
              </w:rPr>
              <w:t xml:space="preserve">Աշխատանքային խմբի թեմատիկ բլոկների աշխատանքների 2016 թվականի պլանների նախապատրաստում՝ հաշվի առնելով աշխատանքների ցանկը (Եվրասիական տնտեսական հանձնաժողովի </w:t>
            </w:r>
            <w:r w:rsidR="00EC2A2C" w:rsidRPr="00E64288">
              <w:rPr>
                <w:rFonts w:ascii="Sylfaen" w:hAnsi="Sylfaen"/>
                <w:sz w:val="24"/>
                <w:szCs w:val="24"/>
              </w:rPr>
              <w:lastRenderedPageBreak/>
              <w:t>կոլեգիայի 2015 թվականի սեպտեմբերի 28-ի թիվ 124 որոշմամբ հաստատված՝ «Արտաքին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 կատարումն ապահովող մեխանիզմի կազմակերպչական կառուցվածքի մասին» հիմնադրույթի հավելված)</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Fonts w:ascii="Sylfaen" w:hAnsi="Sylfaen"/>
                <w:sz w:val="24"/>
                <w:szCs w:val="24"/>
              </w:rPr>
              <w:t>hուլիս</w:t>
            </w:r>
          </w:p>
        </w:tc>
        <w:tc>
          <w:tcPr>
            <w:tcW w:w="3115"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թեմատիկ բլոկների աշխատանքների պլաններ</w:t>
            </w:r>
          </w:p>
        </w:tc>
      </w:tr>
      <w:tr w:rsidR="008B4F9A" w:rsidRPr="00E64288" w:rsidTr="008B4F9A">
        <w:trPr>
          <w:jc w:val="center"/>
        </w:trPr>
        <w:tc>
          <w:tcPr>
            <w:tcW w:w="5427" w:type="dxa"/>
            <w:shd w:val="clear" w:color="auto" w:fill="FFFFFF"/>
            <w:vAlign w:val="bottom"/>
          </w:tcPr>
          <w:p w:rsidR="005E58D7" w:rsidRPr="00E64288" w:rsidRDefault="00814D56" w:rsidP="005E74D1">
            <w:pPr>
              <w:pStyle w:val="Bodytext20"/>
              <w:shd w:val="clear" w:color="auto" w:fill="auto"/>
              <w:tabs>
                <w:tab w:val="left" w:pos="851"/>
              </w:tabs>
              <w:spacing w:before="0" w:after="160" w:line="360" w:lineRule="auto"/>
              <w:ind w:left="112" w:right="116"/>
              <w:jc w:val="left"/>
              <w:rPr>
                <w:rFonts w:ascii="Sylfaen" w:hAnsi="Sylfaen"/>
                <w:sz w:val="24"/>
                <w:szCs w:val="24"/>
              </w:rPr>
            </w:pPr>
            <w:r>
              <w:rPr>
                <w:rFonts w:ascii="Sylfaen" w:hAnsi="Sylfaen"/>
                <w:sz w:val="24"/>
                <w:szCs w:val="24"/>
              </w:rPr>
              <w:lastRenderedPageBreak/>
              <w:t>7.5.</w:t>
            </w:r>
            <w:r w:rsidRPr="00814D56">
              <w:rPr>
                <w:rFonts w:ascii="Sylfaen" w:hAnsi="Sylfaen"/>
                <w:sz w:val="24"/>
                <w:szCs w:val="24"/>
              </w:rPr>
              <w:tab/>
            </w:r>
            <w:r w:rsidR="00EC2A2C" w:rsidRPr="00E64288">
              <w:rPr>
                <w:rFonts w:ascii="Sylfaen" w:hAnsi="Sylfaen"/>
                <w:sz w:val="24"/>
                <w:szCs w:val="24"/>
              </w:rPr>
              <w:t>Միջոցառումների պլանի կատարման</w:t>
            </w:r>
            <w:r w:rsidR="00CE3439" w:rsidRPr="00E64288">
              <w:rPr>
                <w:rFonts w:ascii="Sylfaen" w:hAnsi="Sylfaen"/>
                <w:sz w:val="24"/>
                <w:szCs w:val="24"/>
              </w:rPr>
              <w:t>՝</w:t>
            </w:r>
            <w:r w:rsidR="00EC2A2C" w:rsidRPr="00E64288">
              <w:rPr>
                <w:rFonts w:ascii="Sylfaen" w:hAnsi="Sylfaen"/>
                <w:sz w:val="24"/>
                <w:szCs w:val="24"/>
              </w:rPr>
              <w:t xml:space="preserve"> 2017 թվականի մանրամասնեցված պլանի նախագծի նախապատրաստում</w:t>
            </w:r>
          </w:p>
        </w:tc>
        <w:tc>
          <w:tcPr>
            <w:tcW w:w="2405" w:type="dxa"/>
            <w:shd w:val="clear" w:color="auto" w:fill="FFFFFF"/>
          </w:tcPr>
          <w:p w:rsidR="005E58D7" w:rsidRPr="00E64288" w:rsidRDefault="005E58D7" w:rsidP="00761F77">
            <w:pPr>
              <w:spacing w:after="160" w:line="360" w:lineRule="auto"/>
              <w:ind w:left="112" w:right="116"/>
            </w:pPr>
          </w:p>
        </w:tc>
        <w:tc>
          <w:tcPr>
            <w:tcW w:w="1843" w:type="dxa"/>
            <w:shd w:val="clear" w:color="auto" w:fill="FFFFFF"/>
          </w:tcPr>
          <w:p w:rsidR="005E58D7" w:rsidRPr="00E64288" w:rsidRDefault="00EC2A2C" w:rsidP="00761F77">
            <w:pPr>
              <w:pStyle w:val="Bodytext20"/>
              <w:shd w:val="clear" w:color="auto" w:fill="auto"/>
              <w:spacing w:before="0" w:after="160" w:line="360" w:lineRule="auto"/>
              <w:ind w:left="112" w:right="116"/>
              <w:jc w:val="center"/>
              <w:rPr>
                <w:rFonts w:ascii="Sylfaen" w:hAnsi="Sylfaen"/>
                <w:sz w:val="24"/>
                <w:szCs w:val="24"/>
              </w:rPr>
            </w:pPr>
            <w:r w:rsidRPr="00E64288">
              <w:rPr>
                <w:rFonts w:ascii="Sylfaen" w:hAnsi="Sylfaen"/>
                <w:sz w:val="24"/>
                <w:szCs w:val="24"/>
              </w:rPr>
              <w:t>դեկտեմբեր</w:t>
            </w:r>
          </w:p>
        </w:tc>
        <w:tc>
          <w:tcPr>
            <w:tcW w:w="3115" w:type="dxa"/>
            <w:shd w:val="clear" w:color="auto" w:fill="FFFFFF"/>
            <w:vAlign w:val="bottom"/>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 անդամ պետություններ</w:t>
            </w:r>
          </w:p>
        </w:tc>
        <w:tc>
          <w:tcPr>
            <w:tcW w:w="3261" w:type="dxa"/>
            <w:shd w:val="clear" w:color="auto" w:fill="FFFFFF"/>
          </w:tcPr>
          <w:p w:rsidR="005E58D7" w:rsidRPr="00E64288" w:rsidRDefault="00EC2A2C" w:rsidP="00761F77">
            <w:pPr>
              <w:pStyle w:val="Bodytext20"/>
              <w:shd w:val="clear" w:color="auto" w:fill="auto"/>
              <w:spacing w:before="0" w:after="160" w:line="360" w:lineRule="auto"/>
              <w:ind w:left="112" w:right="116"/>
              <w:jc w:val="left"/>
              <w:rPr>
                <w:rFonts w:ascii="Sylfaen" w:hAnsi="Sylfaen"/>
                <w:sz w:val="24"/>
                <w:szCs w:val="24"/>
              </w:rPr>
            </w:pPr>
            <w:r w:rsidRPr="00E64288">
              <w:rPr>
                <w:rFonts w:ascii="Sylfaen" w:hAnsi="Sylfaen"/>
                <w:sz w:val="24"/>
                <w:szCs w:val="24"/>
              </w:rPr>
              <w:t>Հանձնաժողովի կոլեգիայի ակտ</w:t>
            </w:r>
          </w:p>
        </w:tc>
      </w:tr>
    </w:tbl>
    <w:p w:rsidR="005E58D7" w:rsidRPr="00E64288" w:rsidRDefault="005E58D7" w:rsidP="00761F77">
      <w:pPr>
        <w:pStyle w:val="Bodytext50"/>
        <w:shd w:val="clear" w:color="auto" w:fill="auto"/>
        <w:spacing w:before="0" w:after="160" w:line="360" w:lineRule="auto"/>
        <w:rPr>
          <w:rFonts w:ascii="Sylfaen" w:hAnsi="Sylfaen"/>
        </w:rPr>
      </w:pPr>
    </w:p>
    <w:sectPr w:rsidR="005E58D7" w:rsidRPr="00E64288" w:rsidSect="005E3A7E">
      <w:footerReference w:type="even" r:id="rId7"/>
      <w:footerReference w:type="default" r:id="rId8"/>
      <w:pgSz w:w="16840" w:h="11907" w:code="9"/>
      <w:pgMar w:top="1418" w:right="1418" w:bottom="1418" w:left="1418" w:header="0" w:footer="53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C7" w:rsidRDefault="00F13CC7" w:rsidP="005E58D7">
      <w:r>
        <w:separator/>
      </w:r>
    </w:p>
  </w:endnote>
  <w:endnote w:type="continuationSeparator" w:id="0">
    <w:p w:rsidR="00F13CC7" w:rsidRDefault="00F13CC7" w:rsidP="005E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819"/>
      <w:docPartObj>
        <w:docPartGallery w:val="Page Numbers (Bottom of Page)"/>
        <w:docPartUnique/>
      </w:docPartObj>
    </w:sdtPr>
    <w:sdtEndPr/>
    <w:sdtContent>
      <w:p w:rsidR="00DF0AF6" w:rsidRDefault="00F13CC7">
        <w:pPr>
          <w:pStyle w:val="Footer"/>
          <w:jc w:val="center"/>
        </w:pPr>
        <w:r>
          <w:fldChar w:fldCharType="begin"/>
        </w:r>
        <w:r>
          <w:instrText xml:space="preserve"> PAGE   \* MERGEFORMAT </w:instrText>
        </w:r>
        <w:r>
          <w:fldChar w:fldCharType="separate"/>
        </w:r>
        <w:r w:rsidR="00870AB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817"/>
      <w:docPartObj>
        <w:docPartGallery w:val="Page Numbers (Bottom of Page)"/>
        <w:docPartUnique/>
      </w:docPartObj>
    </w:sdtPr>
    <w:sdtEndPr/>
    <w:sdtContent>
      <w:p w:rsidR="00DF0AF6" w:rsidRDefault="00F13CC7">
        <w:pPr>
          <w:pStyle w:val="Footer"/>
          <w:jc w:val="center"/>
        </w:pPr>
        <w:r>
          <w:fldChar w:fldCharType="begin"/>
        </w:r>
        <w:r>
          <w:instrText xml:space="preserve"> PAGE   \* MERGEFORMAT </w:instrText>
        </w:r>
        <w:r>
          <w:fldChar w:fldCharType="separate"/>
        </w:r>
        <w:r w:rsidR="00870AB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C7" w:rsidRDefault="00F13CC7"/>
  </w:footnote>
  <w:footnote w:type="continuationSeparator" w:id="0">
    <w:p w:rsidR="00F13CC7" w:rsidRDefault="00F13CC7"/>
  </w:footnote>
  <w:footnote w:id="1">
    <w:p w:rsidR="00AD49A8" w:rsidRPr="00AD49A8" w:rsidRDefault="00AD49A8">
      <w:pPr>
        <w:pStyle w:val="FootnoteText"/>
      </w:pPr>
      <w:r>
        <w:rPr>
          <w:rStyle w:val="FootnoteReference"/>
        </w:rPr>
        <w:footnoteRef/>
      </w:r>
      <w:r>
        <w:t xml:space="preserve"> Նշվում է Եվրասիական տնտեսական բարձրագույն խորհրդի 2015 թվականի մայիսի 8-ի թիվ 19 որոշմամբ հաստատված՝ 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 կատարման մոնիթորինգի եւ հսկողության իրականացման ժամանակ հաշվի առնվող միջոցառումների անցկացման փաստացի ժամկետը։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5E58D7"/>
    <w:rsid w:val="000111A9"/>
    <w:rsid w:val="00084277"/>
    <w:rsid w:val="00084679"/>
    <w:rsid w:val="000A5991"/>
    <w:rsid w:val="000D56A3"/>
    <w:rsid w:val="00123BE4"/>
    <w:rsid w:val="001A3899"/>
    <w:rsid w:val="001E6776"/>
    <w:rsid w:val="001E75E6"/>
    <w:rsid w:val="002201F1"/>
    <w:rsid w:val="00254CEB"/>
    <w:rsid w:val="0029095B"/>
    <w:rsid w:val="00295EE1"/>
    <w:rsid w:val="002D3573"/>
    <w:rsid w:val="002D5A7F"/>
    <w:rsid w:val="002E1651"/>
    <w:rsid w:val="002F5606"/>
    <w:rsid w:val="002F7A83"/>
    <w:rsid w:val="00320A44"/>
    <w:rsid w:val="00340E1A"/>
    <w:rsid w:val="003641A3"/>
    <w:rsid w:val="00367BDE"/>
    <w:rsid w:val="003B3650"/>
    <w:rsid w:val="003D799D"/>
    <w:rsid w:val="004342F0"/>
    <w:rsid w:val="0044296B"/>
    <w:rsid w:val="00443AEA"/>
    <w:rsid w:val="004620AB"/>
    <w:rsid w:val="004845DD"/>
    <w:rsid w:val="004B573C"/>
    <w:rsid w:val="004E23E3"/>
    <w:rsid w:val="00526268"/>
    <w:rsid w:val="0052759E"/>
    <w:rsid w:val="0055765E"/>
    <w:rsid w:val="00583EC2"/>
    <w:rsid w:val="00585F0A"/>
    <w:rsid w:val="00591D01"/>
    <w:rsid w:val="005A71C1"/>
    <w:rsid w:val="005D507A"/>
    <w:rsid w:val="005D6FB1"/>
    <w:rsid w:val="005E3A7E"/>
    <w:rsid w:val="005E58D7"/>
    <w:rsid w:val="005E74D1"/>
    <w:rsid w:val="00681CC7"/>
    <w:rsid w:val="00697FB2"/>
    <w:rsid w:val="006C5072"/>
    <w:rsid w:val="006D4842"/>
    <w:rsid w:val="007448B0"/>
    <w:rsid w:val="00754C37"/>
    <w:rsid w:val="00761F77"/>
    <w:rsid w:val="007A645C"/>
    <w:rsid w:val="007B218D"/>
    <w:rsid w:val="007D204F"/>
    <w:rsid w:val="007E17B7"/>
    <w:rsid w:val="007F3252"/>
    <w:rsid w:val="00814D56"/>
    <w:rsid w:val="00870ABB"/>
    <w:rsid w:val="008744A8"/>
    <w:rsid w:val="00882E03"/>
    <w:rsid w:val="008A48AD"/>
    <w:rsid w:val="008A6B28"/>
    <w:rsid w:val="008B0D08"/>
    <w:rsid w:val="008B4F9A"/>
    <w:rsid w:val="008F260D"/>
    <w:rsid w:val="00941A7C"/>
    <w:rsid w:val="00947958"/>
    <w:rsid w:val="009535A5"/>
    <w:rsid w:val="009822F9"/>
    <w:rsid w:val="009826F4"/>
    <w:rsid w:val="009E310E"/>
    <w:rsid w:val="00A12DE5"/>
    <w:rsid w:val="00A13C1D"/>
    <w:rsid w:val="00A23DCC"/>
    <w:rsid w:val="00A31B46"/>
    <w:rsid w:val="00A9546D"/>
    <w:rsid w:val="00AD2A01"/>
    <w:rsid w:val="00AD49A8"/>
    <w:rsid w:val="00B0263C"/>
    <w:rsid w:val="00B80699"/>
    <w:rsid w:val="00BD653B"/>
    <w:rsid w:val="00BE0E15"/>
    <w:rsid w:val="00BF0960"/>
    <w:rsid w:val="00BF77FD"/>
    <w:rsid w:val="00C25803"/>
    <w:rsid w:val="00C27349"/>
    <w:rsid w:val="00C52660"/>
    <w:rsid w:val="00C72FBC"/>
    <w:rsid w:val="00CB02FF"/>
    <w:rsid w:val="00CB4987"/>
    <w:rsid w:val="00CE30A0"/>
    <w:rsid w:val="00CE3439"/>
    <w:rsid w:val="00D02B52"/>
    <w:rsid w:val="00D03BF6"/>
    <w:rsid w:val="00D43ABC"/>
    <w:rsid w:val="00DF0AF6"/>
    <w:rsid w:val="00E2631C"/>
    <w:rsid w:val="00E316E1"/>
    <w:rsid w:val="00E440E5"/>
    <w:rsid w:val="00E53F97"/>
    <w:rsid w:val="00E64288"/>
    <w:rsid w:val="00E812ED"/>
    <w:rsid w:val="00EB29A8"/>
    <w:rsid w:val="00EC2A2C"/>
    <w:rsid w:val="00EF28F8"/>
    <w:rsid w:val="00F13CC7"/>
    <w:rsid w:val="00F26DFC"/>
    <w:rsid w:val="00F5208D"/>
    <w:rsid w:val="00F659CA"/>
    <w:rsid w:val="00F9124D"/>
    <w:rsid w:val="00FC2507"/>
    <w:rsid w:val="00FD40AE"/>
    <w:rsid w:val="00FD573C"/>
    <w:rsid w:val="00FE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58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58D7"/>
    <w:rPr>
      <w:color w:val="000080"/>
      <w:u w:val="single"/>
    </w:rPr>
  </w:style>
  <w:style w:type="character" w:customStyle="1" w:styleId="Heading2">
    <w:name w:val="Heading #2_"/>
    <w:basedOn w:val="DefaultParagraphFont"/>
    <w:link w:val="Heading20"/>
    <w:rsid w:val="005E58D7"/>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5E58D7"/>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5E58D7"/>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5E58D7"/>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5E58D7"/>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3">
    <w:name w:val="Body text (3)_"/>
    <w:basedOn w:val="DefaultParagraphFont"/>
    <w:link w:val="Bodytext30"/>
    <w:rsid w:val="005E58D7"/>
    <w:rPr>
      <w:rFonts w:ascii="Times New Roman" w:eastAsia="Times New Roman" w:hAnsi="Times New Roman" w:cs="Times New Roman"/>
      <w:b/>
      <w:bCs/>
      <w:i w:val="0"/>
      <w:iCs w:val="0"/>
      <w:smallCaps w:val="0"/>
      <w:strike w:val="0"/>
      <w:sz w:val="28"/>
      <w:szCs w:val="28"/>
      <w:u w:val="none"/>
    </w:rPr>
  </w:style>
  <w:style w:type="character" w:customStyle="1" w:styleId="Bodytext2Spacing2pt">
    <w:name w:val="Body text (2) + Spacing 2 pt"/>
    <w:basedOn w:val="Bodytext2"/>
    <w:rsid w:val="005E58D7"/>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2">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Italic">
    <w:name w:val="Body text (2) + Italic"/>
    <w:basedOn w:val="Bodytext2"/>
    <w:rsid w:val="005E58D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5E58D7"/>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9pt">
    <w:name w:val="Body text (2) + 19 pt"/>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3">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5">
    <w:name w:val="Body text (5)_"/>
    <w:basedOn w:val="DefaultParagraphFont"/>
    <w:link w:val="Bodytext50"/>
    <w:rsid w:val="005E58D7"/>
    <w:rPr>
      <w:rFonts w:ascii="Times New Roman" w:eastAsia="Times New Roman" w:hAnsi="Times New Roman" w:cs="Times New Roman"/>
      <w:b w:val="0"/>
      <w:bCs w:val="0"/>
      <w:i w:val="0"/>
      <w:iCs w:val="0"/>
      <w:smallCaps w:val="0"/>
      <w:strike w:val="0"/>
      <w:u w:val="none"/>
    </w:rPr>
  </w:style>
  <w:style w:type="character" w:customStyle="1" w:styleId="Bodytext514pt">
    <w:name w:val="Body text (5) + 14 pt"/>
    <w:basedOn w:val="Bodytext5"/>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519pt">
    <w:name w:val="Body text (5) + 19 pt"/>
    <w:basedOn w:val="Bodytext5"/>
    <w:rsid w:val="005E58D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19pt0">
    <w:name w:val="Body text (2) + 19 pt"/>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29pt">
    <w:name w:val="Body text (2) + 9 pt"/>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Bodytext2Bold">
    <w:name w:val="Body text (2) + Bold"/>
    <w:aliases w:val="Spacing 2 pt"/>
    <w:basedOn w:val="Bodytext2"/>
    <w:rsid w:val="005E58D7"/>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0">
    <w:name w:val="Body text (2) + Bold"/>
    <w:aliases w:val="Spacing 2 pt,Body text (2) + 14 pt,Bold,Body text (2) + 13 pt"/>
    <w:basedOn w:val="Bodytext2"/>
    <w:rsid w:val="005E58D7"/>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4">
    <w:name w:val="Body text (2)"/>
    <w:basedOn w:val="Bodytext2"/>
    <w:rsid w:val="005E58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4">
    <w:name w:val="Body text (4)_"/>
    <w:basedOn w:val="DefaultParagraphFont"/>
    <w:link w:val="Bodytext40"/>
    <w:rsid w:val="005E58D7"/>
    <w:rPr>
      <w:rFonts w:ascii="Times New Roman" w:eastAsia="Times New Roman" w:hAnsi="Times New Roman" w:cs="Times New Roman"/>
      <w:b w:val="0"/>
      <w:bCs w:val="0"/>
      <w:i w:val="0"/>
      <w:iCs w:val="0"/>
      <w:smallCaps w:val="0"/>
      <w:strike w:val="0"/>
      <w:sz w:val="38"/>
      <w:szCs w:val="38"/>
      <w:u w:val="none"/>
    </w:rPr>
  </w:style>
  <w:style w:type="character" w:customStyle="1" w:styleId="Bodytext2Bold1">
    <w:name w:val="Body text (2) + Bold"/>
    <w:aliases w:val="Spacing 4 pt"/>
    <w:basedOn w:val="Bodytext2"/>
    <w:rsid w:val="005E58D7"/>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Verdana">
    <w:name w:val="Body text (2) + Verdana"/>
    <w:aliases w:val="4 pt"/>
    <w:basedOn w:val="Bodytext2"/>
    <w:rsid w:val="005E58D7"/>
    <w:rPr>
      <w:rFonts w:ascii="Verdana" w:eastAsia="Verdana" w:hAnsi="Verdana" w:cs="Verdana"/>
      <w:b w:val="0"/>
      <w:bCs w:val="0"/>
      <w:i w:val="0"/>
      <w:iCs w:val="0"/>
      <w:smallCaps w:val="0"/>
      <w:strike w:val="0"/>
      <w:color w:val="000000"/>
      <w:spacing w:val="0"/>
      <w:w w:val="100"/>
      <w:position w:val="0"/>
      <w:sz w:val="8"/>
      <w:szCs w:val="8"/>
      <w:u w:val="none"/>
      <w:lang w:val="hy-AM" w:eastAsia="hy-AM" w:bidi="hy-AM"/>
    </w:rPr>
  </w:style>
  <w:style w:type="paragraph" w:customStyle="1" w:styleId="Heading20">
    <w:name w:val="Heading #2"/>
    <w:basedOn w:val="Normal"/>
    <w:link w:val="Heading2"/>
    <w:rsid w:val="005E58D7"/>
    <w:pPr>
      <w:shd w:val="clear" w:color="auto" w:fill="FFFFFF"/>
      <w:spacing w:after="120" w:line="0" w:lineRule="atLeast"/>
      <w:jc w:val="center"/>
      <w:outlineLvl w:val="1"/>
    </w:pPr>
    <w:rPr>
      <w:rFonts w:ascii="Times New Roman" w:eastAsia="Times New Roman" w:hAnsi="Times New Roman" w:cs="Times New Roman"/>
      <w:b/>
      <w:bCs/>
      <w:sz w:val="28"/>
      <w:szCs w:val="28"/>
    </w:rPr>
  </w:style>
  <w:style w:type="paragraph" w:customStyle="1" w:styleId="Heading10">
    <w:name w:val="Heading #1"/>
    <w:basedOn w:val="Normal"/>
    <w:link w:val="Heading1"/>
    <w:rsid w:val="005E58D7"/>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5E58D7"/>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5E58D7"/>
    <w:pPr>
      <w:shd w:val="clear" w:color="auto" w:fill="FFFFFF"/>
      <w:spacing w:before="300" w:line="482" w:lineRule="exact"/>
      <w:jc w:val="both"/>
    </w:pPr>
    <w:rPr>
      <w:rFonts w:ascii="Times New Roman" w:eastAsia="Times New Roman" w:hAnsi="Times New Roman" w:cs="Times New Roman"/>
      <w:sz w:val="28"/>
      <w:szCs w:val="28"/>
    </w:rPr>
  </w:style>
  <w:style w:type="paragraph" w:customStyle="1" w:styleId="Bodytext30">
    <w:name w:val="Body text (3)"/>
    <w:basedOn w:val="Normal"/>
    <w:link w:val="Bodytext3"/>
    <w:rsid w:val="005E58D7"/>
    <w:pPr>
      <w:shd w:val="clear" w:color="auto" w:fill="FFFFFF"/>
      <w:spacing w:before="600" w:after="300" w:line="346" w:lineRule="exac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5E58D7"/>
    <w:pPr>
      <w:shd w:val="clear" w:color="auto" w:fill="FFFFFF"/>
      <w:spacing w:before="600" w:after="60" w:line="277" w:lineRule="exact"/>
      <w:jc w:val="both"/>
    </w:pPr>
    <w:rPr>
      <w:rFonts w:ascii="Times New Roman" w:eastAsia="Times New Roman" w:hAnsi="Times New Roman" w:cs="Times New Roman"/>
    </w:rPr>
  </w:style>
  <w:style w:type="paragraph" w:customStyle="1" w:styleId="Bodytext40">
    <w:name w:val="Body text (4)"/>
    <w:basedOn w:val="Normal"/>
    <w:link w:val="Bodytext4"/>
    <w:rsid w:val="005E58D7"/>
    <w:pPr>
      <w:shd w:val="clear" w:color="auto" w:fill="FFFFFF"/>
      <w:spacing w:before="120" w:after="840" w:line="0" w:lineRule="atLeast"/>
      <w:jc w:val="center"/>
    </w:pPr>
    <w:rPr>
      <w:rFonts w:ascii="Times New Roman" w:eastAsia="Times New Roman" w:hAnsi="Times New Roman" w:cs="Times New Roman"/>
      <w:sz w:val="38"/>
      <w:szCs w:val="38"/>
    </w:rPr>
  </w:style>
  <w:style w:type="paragraph" w:styleId="FootnoteText">
    <w:name w:val="footnote text"/>
    <w:basedOn w:val="Normal"/>
    <w:link w:val="FootnoteTextChar"/>
    <w:uiPriority w:val="99"/>
    <w:semiHidden/>
    <w:unhideWhenUsed/>
    <w:rsid w:val="00EC2A2C"/>
    <w:rPr>
      <w:sz w:val="20"/>
      <w:szCs w:val="20"/>
    </w:rPr>
  </w:style>
  <w:style w:type="character" w:customStyle="1" w:styleId="FootnoteTextChar">
    <w:name w:val="Footnote Text Char"/>
    <w:basedOn w:val="DefaultParagraphFont"/>
    <w:link w:val="FootnoteText"/>
    <w:uiPriority w:val="99"/>
    <w:semiHidden/>
    <w:rsid w:val="00EC2A2C"/>
    <w:rPr>
      <w:color w:val="000000"/>
      <w:sz w:val="20"/>
      <w:szCs w:val="20"/>
    </w:rPr>
  </w:style>
  <w:style w:type="character" w:styleId="FootnoteReference">
    <w:name w:val="footnote reference"/>
    <w:basedOn w:val="DefaultParagraphFont"/>
    <w:uiPriority w:val="99"/>
    <w:semiHidden/>
    <w:unhideWhenUsed/>
    <w:rsid w:val="00EC2A2C"/>
    <w:rPr>
      <w:vertAlign w:val="superscript"/>
    </w:rPr>
  </w:style>
  <w:style w:type="paragraph" w:styleId="CommentText">
    <w:name w:val="annotation text"/>
    <w:basedOn w:val="Normal"/>
    <w:link w:val="CommentTextChar"/>
    <w:uiPriority w:val="99"/>
    <w:semiHidden/>
    <w:unhideWhenUsed/>
    <w:rsid w:val="00C52660"/>
    <w:rPr>
      <w:sz w:val="20"/>
      <w:szCs w:val="20"/>
    </w:rPr>
  </w:style>
  <w:style w:type="character" w:customStyle="1" w:styleId="CommentTextChar">
    <w:name w:val="Comment Text Char"/>
    <w:basedOn w:val="DefaultParagraphFont"/>
    <w:link w:val="CommentText"/>
    <w:uiPriority w:val="99"/>
    <w:semiHidden/>
    <w:rsid w:val="00C52660"/>
    <w:rPr>
      <w:color w:val="000000"/>
      <w:sz w:val="20"/>
      <w:szCs w:val="20"/>
    </w:rPr>
  </w:style>
  <w:style w:type="character" w:styleId="CommentReference">
    <w:name w:val="annotation reference"/>
    <w:basedOn w:val="DefaultParagraphFont"/>
    <w:uiPriority w:val="99"/>
    <w:semiHidden/>
    <w:unhideWhenUsed/>
    <w:rsid w:val="00C52660"/>
    <w:rPr>
      <w:sz w:val="16"/>
      <w:szCs w:val="16"/>
    </w:rPr>
  </w:style>
  <w:style w:type="paragraph" w:styleId="BalloonText">
    <w:name w:val="Balloon Text"/>
    <w:basedOn w:val="Normal"/>
    <w:link w:val="BalloonTextChar"/>
    <w:uiPriority w:val="99"/>
    <w:semiHidden/>
    <w:unhideWhenUsed/>
    <w:rsid w:val="00E53F97"/>
    <w:rPr>
      <w:rFonts w:ascii="Tahoma" w:hAnsi="Tahoma" w:cs="Tahoma"/>
      <w:sz w:val="16"/>
      <w:szCs w:val="16"/>
    </w:rPr>
  </w:style>
  <w:style w:type="character" w:customStyle="1" w:styleId="BalloonTextChar">
    <w:name w:val="Balloon Text Char"/>
    <w:basedOn w:val="DefaultParagraphFont"/>
    <w:link w:val="BalloonText"/>
    <w:uiPriority w:val="99"/>
    <w:semiHidden/>
    <w:rsid w:val="00E53F97"/>
    <w:rPr>
      <w:rFonts w:ascii="Tahoma" w:hAnsi="Tahoma" w:cs="Tahoma"/>
      <w:color w:val="000000"/>
      <w:sz w:val="16"/>
      <w:szCs w:val="16"/>
    </w:rPr>
  </w:style>
  <w:style w:type="paragraph" w:styleId="Header">
    <w:name w:val="header"/>
    <w:basedOn w:val="Normal"/>
    <w:link w:val="HeaderChar"/>
    <w:uiPriority w:val="99"/>
    <w:semiHidden/>
    <w:unhideWhenUsed/>
    <w:rsid w:val="005D507A"/>
    <w:pPr>
      <w:tabs>
        <w:tab w:val="center" w:pos="4677"/>
        <w:tab w:val="right" w:pos="9355"/>
      </w:tabs>
    </w:pPr>
  </w:style>
  <w:style w:type="character" w:customStyle="1" w:styleId="HeaderChar">
    <w:name w:val="Header Char"/>
    <w:basedOn w:val="DefaultParagraphFont"/>
    <w:link w:val="Header"/>
    <w:uiPriority w:val="99"/>
    <w:semiHidden/>
    <w:rsid w:val="005D507A"/>
    <w:rPr>
      <w:color w:val="000000"/>
    </w:rPr>
  </w:style>
  <w:style w:type="paragraph" w:styleId="Footer">
    <w:name w:val="footer"/>
    <w:basedOn w:val="Normal"/>
    <w:link w:val="FooterChar"/>
    <w:uiPriority w:val="99"/>
    <w:unhideWhenUsed/>
    <w:rsid w:val="005D507A"/>
    <w:pPr>
      <w:tabs>
        <w:tab w:val="center" w:pos="4677"/>
        <w:tab w:val="right" w:pos="9355"/>
      </w:tabs>
    </w:pPr>
  </w:style>
  <w:style w:type="character" w:customStyle="1" w:styleId="FooterChar">
    <w:name w:val="Footer Char"/>
    <w:basedOn w:val="DefaultParagraphFont"/>
    <w:link w:val="Footer"/>
    <w:uiPriority w:val="99"/>
    <w:rsid w:val="005D507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39</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24</cp:revision>
  <dcterms:created xsi:type="dcterms:W3CDTF">2017-03-16T13:19:00Z</dcterms:created>
  <dcterms:modified xsi:type="dcterms:W3CDTF">2017-11-06T07:24:00Z</dcterms:modified>
</cp:coreProperties>
</file>