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C2" w:rsidRPr="000A0FCD" w:rsidRDefault="001F7297" w:rsidP="000A0FCD">
      <w:pPr>
        <w:pStyle w:val="Bodytext40"/>
        <w:shd w:val="clear" w:color="auto" w:fill="auto"/>
        <w:spacing w:after="160" w:line="240" w:lineRule="auto"/>
        <w:ind w:left="5670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A0FCD">
        <w:rPr>
          <w:rFonts w:ascii="Sylfaen" w:hAnsi="Sylfaen"/>
          <w:sz w:val="24"/>
          <w:szCs w:val="24"/>
        </w:rPr>
        <w:t>ՀԱՎԵԼՎԱԾ</w:t>
      </w:r>
    </w:p>
    <w:p w:rsidR="00137BC2" w:rsidRPr="000A0FCD" w:rsidRDefault="001F7297" w:rsidP="000A0FCD">
      <w:pPr>
        <w:pStyle w:val="Bodytext40"/>
        <w:shd w:val="clear" w:color="auto" w:fill="auto"/>
        <w:spacing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0A0FCD" w:rsidRPr="000A0FCD">
        <w:rPr>
          <w:rFonts w:ascii="Sylfaen" w:hAnsi="Sylfaen"/>
          <w:sz w:val="24"/>
          <w:szCs w:val="24"/>
        </w:rPr>
        <w:br/>
      </w:r>
      <w:r w:rsidRPr="000A0FCD">
        <w:rPr>
          <w:rFonts w:ascii="Sylfaen" w:hAnsi="Sylfaen"/>
          <w:sz w:val="24"/>
          <w:szCs w:val="24"/>
        </w:rPr>
        <w:t>2016 թվականի մայիսի 16-ի թիվ 36 որոշման</w:t>
      </w:r>
    </w:p>
    <w:p w:rsidR="007739E0" w:rsidRPr="000A0FCD" w:rsidRDefault="007739E0" w:rsidP="000A0FCD">
      <w:pPr>
        <w:pStyle w:val="Bodytext40"/>
        <w:shd w:val="clear" w:color="auto" w:fill="auto"/>
        <w:spacing w:after="160" w:line="240" w:lineRule="auto"/>
        <w:ind w:left="4536" w:right="-6"/>
        <w:jc w:val="both"/>
        <w:rPr>
          <w:rFonts w:ascii="Sylfaen" w:hAnsi="Sylfaen"/>
          <w:sz w:val="24"/>
          <w:szCs w:val="24"/>
        </w:rPr>
      </w:pPr>
    </w:p>
    <w:p w:rsidR="00137BC2" w:rsidRPr="000A0FCD" w:rsidRDefault="001F7297" w:rsidP="000A0FCD">
      <w:pPr>
        <w:pStyle w:val="Heading40"/>
        <w:shd w:val="clear" w:color="auto" w:fill="auto"/>
        <w:spacing w:before="0" w:after="160" w:line="240" w:lineRule="auto"/>
        <w:ind w:left="567" w:right="561"/>
        <w:outlineLvl w:val="9"/>
        <w:rPr>
          <w:rFonts w:ascii="Sylfaen" w:hAnsi="Sylfaen"/>
          <w:sz w:val="24"/>
          <w:szCs w:val="24"/>
        </w:rPr>
      </w:pPr>
      <w:r w:rsidRPr="000A0FCD">
        <w:rPr>
          <w:rStyle w:val="Heading4Spacing2pt"/>
          <w:rFonts w:ascii="Sylfaen" w:hAnsi="Sylfaen"/>
          <w:b/>
          <w:spacing w:val="0"/>
          <w:sz w:val="24"/>
          <w:szCs w:val="24"/>
        </w:rPr>
        <w:t>ՓՈՓՈԽՈՒԹՅՈՒՆՆԵՐ՝</w:t>
      </w:r>
    </w:p>
    <w:p w:rsidR="00137BC2" w:rsidRPr="000A0FCD" w:rsidRDefault="001F7297" w:rsidP="000A0FC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Մաքսային միության հանձնաժողովի 2010 թվականի հունիսի 18-ի թիվ</w:t>
      </w:r>
      <w:r w:rsidR="000A0FCD" w:rsidRPr="000A0FCD">
        <w:rPr>
          <w:rFonts w:ascii="Sylfaen" w:hAnsi="Sylfaen"/>
          <w:sz w:val="24"/>
          <w:szCs w:val="24"/>
        </w:rPr>
        <w:t> </w:t>
      </w:r>
      <w:r w:rsidRPr="000A0FCD">
        <w:rPr>
          <w:rFonts w:ascii="Sylfaen" w:hAnsi="Sylfaen"/>
          <w:sz w:val="24"/>
          <w:szCs w:val="24"/>
        </w:rPr>
        <w:t>318 որոշման մեջ կատարվող</w:t>
      </w:r>
    </w:p>
    <w:p w:rsidR="000A0FCD" w:rsidRPr="00BF3A80" w:rsidRDefault="000A0FCD" w:rsidP="000A0FCD">
      <w:pPr>
        <w:pStyle w:val="Bodytext40"/>
        <w:shd w:val="clear" w:color="auto" w:fill="auto"/>
        <w:spacing w:after="160" w:line="240" w:lineRule="auto"/>
        <w:ind w:right="-6" w:firstLine="567"/>
        <w:jc w:val="both"/>
        <w:rPr>
          <w:rFonts w:ascii="Sylfaen" w:hAnsi="Sylfaen"/>
          <w:sz w:val="24"/>
          <w:szCs w:val="24"/>
        </w:rPr>
      </w:pPr>
    </w:p>
    <w:p w:rsidR="00137BC2" w:rsidRPr="000A0FCD" w:rsidRDefault="001F7297" w:rsidP="000A0FCD">
      <w:pPr>
        <w:pStyle w:val="Bodytext40"/>
        <w:shd w:val="clear" w:color="auto" w:fill="auto"/>
        <w:tabs>
          <w:tab w:val="left" w:pos="1134"/>
        </w:tabs>
        <w:spacing w:after="160" w:line="33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1.</w:t>
      </w:r>
      <w:r w:rsidR="000A0FCD" w:rsidRPr="00BF3A80">
        <w:rPr>
          <w:rFonts w:ascii="Sylfaen" w:hAnsi="Sylfaen"/>
          <w:sz w:val="24"/>
          <w:szCs w:val="24"/>
        </w:rPr>
        <w:tab/>
      </w:r>
      <w:r w:rsidRPr="000A0FCD">
        <w:rPr>
          <w:rFonts w:ascii="Sylfaen" w:hAnsi="Sylfaen"/>
          <w:spacing w:val="-6"/>
          <w:sz w:val="24"/>
          <w:szCs w:val="24"/>
        </w:rPr>
        <w:t>Նշված որոշմամբ հաստատված՝ «Եվրասիական տնտեսական միության մաքսային սահմանին կարանտինային բուսասանիտարական հսկողության (վերահսկողության) իրականացման կարգի մասին» հիմնադրույթի թիվ 2</w:t>
      </w:r>
      <w:r w:rsidRPr="000A0FCD">
        <w:rPr>
          <w:rFonts w:ascii="Sylfaen" w:hAnsi="Sylfaen"/>
          <w:sz w:val="24"/>
          <w:szCs w:val="24"/>
        </w:rPr>
        <w:t xml:space="preserve"> հավելվածը շարադրել հետ</w:t>
      </w:r>
      <w:r w:rsidR="00D30066">
        <w:rPr>
          <w:rFonts w:ascii="Sylfaen" w:hAnsi="Sylfaen"/>
          <w:sz w:val="24"/>
          <w:szCs w:val="24"/>
        </w:rPr>
        <w:t>եւ</w:t>
      </w:r>
      <w:r w:rsidRPr="000A0FCD">
        <w:rPr>
          <w:rFonts w:ascii="Sylfaen" w:hAnsi="Sylfaen"/>
          <w:sz w:val="24"/>
          <w:szCs w:val="24"/>
        </w:rPr>
        <w:t>յալ խմբագրությամբ.</w:t>
      </w:r>
    </w:p>
    <w:p w:rsidR="007739E0" w:rsidRPr="000A0FCD" w:rsidRDefault="007739E0" w:rsidP="000A0FCD">
      <w:pPr>
        <w:pStyle w:val="Bodytext40"/>
        <w:shd w:val="clear" w:color="auto" w:fill="auto"/>
        <w:spacing w:after="160" w:line="240" w:lineRule="auto"/>
        <w:ind w:left="3969" w:right="-6"/>
        <w:jc w:val="both"/>
        <w:rPr>
          <w:rFonts w:ascii="Sylfaen" w:hAnsi="Sylfaen"/>
          <w:sz w:val="24"/>
          <w:szCs w:val="24"/>
        </w:rPr>
      </w:pPr>
    </w:p>
    <w:p w:rsidR="00137BC2" w:rsidRPr="000A0FCD" w:rsidRDefault="001F7297" w:rsidP="000A0FCD">
      <w:pPr>
        <w:pStyle w:val="Bodytext40"/>
        <w:shd w:val="clear" w:color="auto" w:fill="auto"/>
        <w:spacing w:after="160" w:line="336" w:lineRule="auto"/>
        <w:ind w:left="2268" w:right="-8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«ՀԱՎԵԼՎԱԾ ԹԻՎ 2</w:t>
      </w:r>
    </w:p>
    <w:p w:rsidR="00137BC2" w:rsidRPr="000A0FCD" w:rsidRDefault="001F7297" w:rsidP="000A0FCD">
      <w:pPr>
        <w:pStyle w:val="Bodytext40"/>
        <w:shd w:val="clear" w:color="auto" w:fill="auto"/>
        <w:spacing w:after="160" w:line="336" w:lineRule="auto"/>
        <w:ind w:left="2268" w:right="-8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«Եվրասիական տնտեսական միության մաքսային սահմանին կարանտինային բուսասանիտարական հսկողության (վերահսկողության) իրականացման կարգի մասին» հիմնադրույթի (Եվրասիական տնտեսական հանձնաժողովի խորհրդի 2016 թվականի մայիսի 16-ի թիվ 36 որոշման խմբագրությամբ)</w:t>
      </w:r>
    </w:p>
    <w:p w:rsidR="007739E0" w:rsidRPr="000A0FCD" w:rsidRDefault="007739E0" w:rsidP="000A0FCD">
      <w:pPr>
        <w:pStyle w:val="Bodytext40"/>
        <w:shd w:val="clear" w:color="auto" w:fill="auto"/>
        <w:spacing w:after="160" w:line="240" w:lineRule="auto"/>
        <w:ind w:left="3969" w:right="-6"/>
        <w:jc w:val="both"/>
        <w:rPr>
          <w:rFonts w:ascii="Sylfaen" w:hAnsi="Sylfaen"/>
          <w:sz w:val="24"/>
          <w:szCs w:val="24"/>
        </w:rPr>
      </w:pPr>
    </w:p>
    <w:p w:rsidR="00137BC2" w:rsidRPr="000A0FCD" w:rsidRDefault="001F7297" w:rsidP="000A0FCD">
      <w:pPr>
        <w:pStyle w:val="Bodytext30"/>
        <w:shd w:val="clear" w:color="auto" w:fill="auto"/>
        <w:spacing w:after="160" w:line="336" w:lineRule="auto"/>
        <w:ind w:left="567" w:right="559"/>
        <w:rPr>
          <w:rFonts w:ascii="Sylfaen" w:hAnsi="Sylfaen"/>
          <w:sz w:val="24"/>
          <w:szCs w:val="24"/>
        </w:rPr>
      </w:pPr>
      <w:r w:rsidRPr="000A0FCD">
        <w:rPr>
          <w:rStyle w:val="Bodytext3Spacing2pt"/>
          <w:rFonts w:ascii="Sylfaen" w:hAnsi="Sylfaen"/>
          <w:b/>
          <w:spacing w:val="0"/>
          <w:sz w:val="24"/>
          <w:szCs w:val="24"/>
        </w:rPr>
        <w:t>ՁԵՎ</w:t>
      </w:r>
    </w:p>
    <w:p w:rsidR="00137BC2" w:rsidRPr="000A0FCD" w:rsidRDefault="001F7297" w:rsidP="000A0FCD">
      <w:pPr>
        <w:pStyle w:val="Bodytext30"/>
        <w:shd w:val="clear" w:color="auto" w:fill="auto"/>
        <w:spacing w:after="160" w:line="336" w:lineRule="auto"/>
        <w:ind w:left="567" w:right="559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կարանտինային բուսասանիտարական հսկողության (վերահսկողության) ակտի</w:t>
      </w:r>
    </w:p>
    <w:p w:rsidR="00137BC2" w:rsidRPr="000A0FCD" w:rsidRDefault="007739E0" w:rsidP="00067B20">
      <w:pPr>
        <w:pStyle w:val="Heading120"/>
        <w:shd w:val="clear" w:color="auto" w:fill="auto"/>
        <w:spacing w:before="0" w:after="0" w:line="240" w:lineRule="auto"/>
        <w:ind w:right="-6"/>
        <w:outlineLvl w:val="9"/>
        <w:rPr>
          <w:rFonts w:ascii="Sylfaen" w:hAnsi="Sylfaen"/>
          <w:spacing w:val="0"/>
          <w:sz w:val="24"/>
          <w:szCs w:val="24"/>
        </w:rPr>
      </w:pPr>
      <w:r w:rsidRPr="000A0FCD">
        <w:rPr>
          <w:rFonts w:ascii="Sylfaen" w:hAnsi="Sylfaen"/>
          <w:spacing w:val="0"/>
          <w:sz w:val="24"/>
          <w:szCs w:val="24"/>
        </w:rPr>
        <w:t>_________________________________________________________________________(1)</w:t>
      </w:r>
    </w:p>
    <w:p w:rsidR="00137BC2" w:rsidRPr="000A0FCD" w:rsidRDefault="001F7297" w:rsidP="00067B20">
      <w:pPr>
        <w:pStyle w:val="Bodytext20"/>
        <w:shd w:val="clear" w:color="auto" w:fill="auto"/>
        <w:spacing w:after="0" w:line="240" w:lineRule="auto"/>
        <w:ind w:left="567" w:right="559"/>
        <w:jc w:val="center"/>
        <w:rPr>
          <w:rFonts w:ascii="Sylfaen" w:hAnsi="Sylfaen"/>
          <w:sz w:val="20"/>
          <w:szCs w:val="20"/>
        </w:rPr>
      </w:pPr>
      <w:r w:rsidRPr="000A0FCD">
        <w:rPr>
          <w:rFonts w:ascii="Sylfaen" w:hAnsi="Sylfaen"/>
          <w:sz w:val="20"/>
          <w:szCs w:val="20"/>
        </w:rPr>
        <w:t>(ակտը տրամադրած լիազորված մարմնի անվանումը)</w:t>
      </w:r>
    </w:p>
    <w:p w:rsidR="00137BC2" w:rsidRPr="000A0FCD" w:rsidRDefault="001F7297" w:rsidP="000A0FCD">
      <w:pPr>
        <w:pStyle w:val="Bodytext4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ԱԿՏ</w:t>
      </w:r>
    </w:p>
    <w:p w:rsidR="00137BC2" w:rsidRPr="000A0FCD" w:rsidRDefault="001F7297" w:rsidP="000A0FCD">
      <w:pPr>
        <w:pStyle w:val="Bodytext40"/>
        <w:shd w:val="clear" w:color="auto" w:fill="auto"/>
        <w:spacing w:after="160" w:line="360" w:lineRule="auto"/>
        <w:ind w:left="567" w:right="-8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lastRenderedPageBreak/>
        <w:t>կարանտինային բուսասանիտարական հսկողության (վերահսկողության)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0"/>
        <w:gridCol w:w="4997"/>
      </w:tblGrid>
      <w:tr w:rsidR="00137BC2" w:rsidRPr="000A0FCD" w:rsidTr="007739E0">
        <w:trPr>
          <w:jc w:val="center"/>
        </w:trPr>
        <w:tc>
          <w:tcPr>
            <w:tcW w:w="5130" w:type="dxa"/>
            <w:shd w:val="clear" w:color="auto" w:fill="FFFFFF"/>
            <w:vAlign w:val="bottom"/>
          </w:tcPr>
          <w:p w:rsidR="00137BC2" w:rsidRPr="000A0FCD" w:rsidRDefault="000A0FCD" w:rsidP="00067B20">
            <w:pPr>
              <w:pStyle w:val="Bodytext20"/>
              <w:shd w:val="clear" w:color="auto" w:fill="auto"/>
              <w:spacing w:after="0" w:line="240" w:lineRule="auto"/>
              <w:ind w:right="-6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____________________________</w:t>
            </w:r>
            <w:r w:rsidR="007739E0" w:rsidRPr="000A0FCD">
              <w:rPr>
                <w:rFonts w:ascii="Sylfaen" w:hAnsi="Sylfaen"/>
              </w:rPr>
              <w:t>(2)</w:t>
            </w:r>
          </w:p>
          <w:p w:rsidR="00137BC2" w:rsidRPr="000A0FCD" w:rsidRDefault="001F7297" w:rsidP="00067B20">
            <w:pPr>
              <w:pStyle w:val="Bodytext20"/>
              <w:shd w:val="clear" w:color="auto" w:fill="auto"/>
              <w:spacing w:after="0" w:line="240" w:lineRule="auto"/>
              <w:ind w:left="1089" w:right="1894"/>
              <w:jc w:val="center"/>
              <w:rPr>
                <w:rFonts w:ascii="Sylfaen" w:hAnsi="Sylfaen"/>
                <w:sz w:val="20"/>
                <w:szCs w:val="20"/>
              </w:rPr>
            </w:pPr>
            <w:r w:rsidRPr="000A0FCD">
              <w:rPr>
                <w:rFonts w:ascii="Sylfaen" w:hAnsi="Sylfaen"/>
                <w:sz w:val="20"/>
                <w:szCs w:val="20"/>
              </w:rPr>
              <w:t>(տրման ամսաթիվը)</w:t>
            </w:r>
          </w:p>
        </w:tc>
        <w:tc>
          <w:tcPr>
            <w:tcW w:w="4997" w:type="dxa"/>
            <w:shd w:val="clear" w:color="auto" w:fill="FFFFFF"/>
          </w:tcPr>
          <w:p w:rsidR="00137BC2" w:rsidRPr="000A0FCD" w:rsidRDefault="00C96C17" w:rsidP="000A0FCD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</w:rPr>
            </w:pPr>
            <w:r w:rsidRPr="000A0FCD">
              <w:rPr>
                <w:rFonts w:ascii="Sylfaen" w:hAnsi="Sylfaen"/>
              </w:rPr>
              <w:t xml:space="preserve">թիվ </w:t>
            </w:r>
            <w:r w:rsidR="000A0FCD">
              <w:rPr>
                <w:rFonts w:ascii="Sylfaen" w:hAnsi="Sylfaen"/>
              </w:rPr>
              <w:t>_______________________</w:t>
            </w:r>
            <w:r w:rsidR="001F7297" w:rsidRPr="000A0FCD">
              <w:rPr>
                <w:rFonts w:ascii="Sylfaen" w:hAnsi="Sylfaen"/>
              </w:rPr>
              <w:t>(3)</w:t>
            </w:r>
          </w:p>
        </w:tc>
      </w:tr>
    </w:tbl>
    <w:p w:rsidR="000A0FCD" w:rsidRDefault="000A0FCD" w:rsidP="000A0FCD">
      <w:pPr>
        <w:pStyle w:val="Bodytext40"/>
        <w:shd w:val="clear" w:color="auto" w:fill="auto"/>
        <w:spacing w:after="160" w:line="360" w:lineRule="auto"/>
        <w:ind w:right="-6"/>
        <w:jc w:val="both"/>
        <w:rPr>
          <w:rFonts w:ascii="Sylfaen" w:hAnsi="Sylfaen"/>
          <w:sz w:val="24"/>
          <w:szCs w:val="24"/>
          <w:lang w:val="en-US"/>
        </w:rPr>
      </w:pPr>
    </w:p>
    <w:p w:rsidR="00137BC2" w:rsidRPr="000A0FCD" w:rsidRDefault="001F7297" w:rsidP="00007E52">
      <w:pPr>
        <w:pStyle w:val="Bodytext40"/>
        <w:shd w:val="clear" w:color="auto" w:fill="auto"/>
        <w:spacing w:after="160" w:line="36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Իմ՝ լիազորված պաշտոնատար անձի կողմից,</w:t>
      </w:r>
      <w:r w:rsidR="000A0FCD">
        <w:rPr>
          <w:rFonts w:ascii="Sylfaen" w:hAnsi="Sylfaen"/>
          <w:sz w:val="24"/>
          <w:szCs w:val="24"/>
        </w:rPr>
        <w:t xml:space="preserve"> ______________________________</w:t>
      </w:r>
      <w:r w:rsidRPr="000A0FCD">
        <w:rPr>
          <w:rFonts w:ascii="Sylfaen" w:hAnsi="Sylfaen"/>
          <w:sz w:val="24"/>
          <w:szCs w:val="24"/>
        </w:rPr>
        <w:t>(4)</w:t>
      </w:r>
    </w:p>
    <w:p w:rsidR="00137BC2" w:rsidRPr="000A0FCD" w:rsidRDefault="001F7297" w:rsidP="00007E52">
      <w:pPr>
        <w:pStyle w:val="Bodytext20"/>
        <w:shd w:val="clear" w:color="auto" w:fill="auto"/>
        <w:spacing w:after="160" w:line="360" w:lineRule="auto"/>
        <w:ind w:left="6096" w:right="-8"/>
        <w:jc w:val="both"/>
        <w:rPr>
          <w:rFonts w:ascii="Sylfaen" w:hAnsi="Sylfaen"/>
          <w:sz w:val="20"/>
          <w:szCs w:val="20"/>
        </w:rPr>
      </w:pPr>
      <w:r w:rsidRPr="000A0FCD">
        <w:rPr>
          <w:rFonts w:ascii="Sylfaen" w:hAnsi="Sylfaen"/>
          <w:sz w:val="20"/>
          <w:szCs w:val="20"/>
        </w:rPr>
        <w:t>(պաշտոնը, Ա.Ա.Հ.)</w:t>
      </w:r>
    </w:p>
    <w:p w:rsidR="00BC626B" w:rsidRPr="000A0FCD" w:rsidRDefault="001F7297" w:rsidP="00067B20">
      <w:pPr>
        <w:pStyle w:val="Bodytext40"/>
        <w:shd w:val="clear" w:color="auto" w:fill="auto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կատարվել է կարանտինային հսկողության վերցված արտադրանքի կարանտինային բուսասանիտարական հսկողություն (վերահսկողություն)՝ ___________________________________________</w:t>
      </w:r>
      <w:r w:rsidR="00007E52" w:rsidRPr="00007E52">
        <w:rPr>
          <w:rFonts w:ascii="Sylfaen" w:hAnsi="Sylfaen"/>
          <w:sz w:val="24"/>
          <w:szCs w:val="24"/>
        </w:rPr>
        <w:t>____________</w:t>
      </w:r>
      <w:r w:rsidRPr="000A0FCD">
        <w:rPr>
          <w:rFonts w:ascii="Sylfaen" w:hAnsi="Sylfaen"/>
          <w:sz w:val="24"/>
          <w:szCs w:val="24"/>
        </w:rPr>
        <w:t>__________________(5)</w:t>
      </w:r>
    </w:p>
    <w:p w:rsidR="00BC626B" w:rsidRPr="00007E52" w:rsidRDefault="00BC626B" w:rsidP="00067B20">
      <w:pPr>
        <w:pStyle w:val="Bodytext40"/>
        <w:spacing w:line="240" w:lineRule="auto"/>
        <w:ind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 xml:space="preserve">(կարանտինային հսկողության վերցված արտադրանքի անվանումը </w:t>
      </w:r>
      <w:r w:rsidR="00D30066">
        <w:rPr>
          <w:rFonts w:ascii="Sylfaen" w:hAnsi="Sylfaen"/>
          <w:sz w:val="20"/>
          <w:szCs w:val="20"/>
        </w:rPr>
        <w:t>եւ</w:t>
      </w:r>
      <w:r w:rsidRPr="00007E52">
        <w:rPr>
          <w:rFonts w:ascii="Sylfaen" w:hAnsi="Sylfaen"/>
          <w:sz w:val="20"/>
          <w:szCs w:val="20"/>
        </w:rPr>
        <w:t xml:space="preserve"> քանակը)</w:t>
      </w:r>
    </w:p>
    <w:p w:rsidR="00BC626B" w:rsidRPr="000A0FCD" w:rsidRDefault="00D30066" w:rsidP="00067B20">
      <w:pPr>
        <w:pStyle w:val="Bodytext40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եւ</w:t>
      </w:r>
      <w:r w:rsidR="00BC626B" w:rsidRPr="000A0FCD">
        <w:rPr>
          <w:rFonts w:ascii="Sylfaen" w:hAnsi="Sylfaen"/>
          <w:sz w:val="24"/>
          <w:szCs w:val="24"/>
        </w:rPr>
        <w:t xml:space="preserve"> տրանսպորտային միջոցների՝ _______________________________</w:t>
      </w:r>
      <w:r w:rsidR="00007E52" w:rsidRPr="00BF3A80">
        <w:rPr>
          <w:rFonts w:ascii="Sylfaen" w:hAnsi="Sylfaen"/>
          <w:sz w:val="24"/>
          <w:szCs w:val="24"/>
        </w:rPr>
        <w:t>_</w:t>
      </w:r>
      <w:r w:rsidR="00BC626B" w:rsidRPr="000A0FCD">
        <w:rPr>
          <w:rFonts w:ascii="Sylfaen" w:hAnsi="Sylfaen"/>
          <w:sz w:val="24"/>
          <w:szCs w:val="24"/>
        </w:rPr>
        <w:t>___________(6)</w:t>
      </w:r>
    </w:p>
    <w:p w:rsidR="00BC626B" w:rsidRPr="00007E52" w:rsidRDefault="00BC626B" w:rsidP="00067B20">
      <w:pPr>
        <w:pStyle w:val="Bodytext40"/>
        <w:spacing w:line="240" w:lineRule="auto"/>
        <w:ind w:left="3402"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(տրանսպորտային միջոցների համարները),</w:t>
      </w:r>
    </w:p>
    <w:p w:rsidR="00BC626B" w:rsidRPr="000A0FCD" w:rsidRDefault="00BC626B" w:rsidP="00067B20">
      <w:pPr>
        <w:pStyle w:val="Bodytext40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որոնք ստացվել են</w:t>
      </w:r>
      <w:r w:rsidR="00007E52">
        <w:rPr>
          <w:rFonts w:ascii="Sylfaen" w:hAnsi="Sylfaen"/>
          <w:sz w:val="24"/>
          <w:szCs w:val="24"/>
        </w:rPr>
        <w:t>_________</w:t>
      </w:r>
      <w:r w:rsidRPr="000A0FCD">
        <w:rPr>
          <w:rFonts w:ascii="Sylfaen" w:hAnsi="Sylfaen"/>
          <w:sz w:val="24"/>
          <w:szCs w:val="24"/>
        </w:rPr>
        <w:t>______________</w:t>
      </w:r>
      <w:r w:rsidR="00007E52">
        <w:rPr>
          <w:rFonts w:ascii="Sylfaen" w:hAnsi="Sylfaen"/>
          <w:sz w:val="24"/>
          <w:szCs w:val="24"/>
        </w:rPr>
        <w:t>______________________</w:t>
      </w:r>
      <w:r w:rsidR="00007E52" w:rsidRPr="00BF3A80">
        <w:rPr>
          <w:rFonts w:ascii="Sylfaen" w:hAnsi="Sylfaen"/>
          <w:sz w:val="24"/>
          <w:szCs w:val="24"/>
        </w:rPr>
        <w:t>__</w:t>
      </w:r>
      <w:r w:rsidR="00007E52">
        <w:rPr>
          <w:rFonts w:ascii="Sylfaen" w:hAnsi="Sylfaen"/>
          <w:sz w:val="24"/>
          <w:szCs w:val="24"/>
        </w:rPr>
        <w:t>_________</w:t>
      </w:r>
      <w:r w:rsidRPr="000A0FCD">
        <w:rPr>
          <w:rFonts w:ascii="Sylfaen" w:hAnsi="Sylfaen"/>
          <w:sz w:val="24"/>
          <w:szCs w:val="24"/>
        </w:rPr>
        <w:t>(7)</w:t>
      </w:r>
    </w:p>
    <w:p w:rsidR="00BC626B" w:rsidRPr="00007E52" w:rsidRDefault="00BC626B" w:rsidP="00067B20">
      <w:pPr>
        <w:pStyle w:val="Bodytext40"/>
        <w:spacing w:line="240" w:lineRule="auto"/>
        <w:ind w:left="3402"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(երկրի անվանումը)</w:t>
      </w:r>
    </w:p>
    <w:p w:rsidR="00BC626B" w:rsidRPr="000A0FCD" w:rsidRDefault="00BC626B" w:rsidP="00067B20">
      <w:pPr>
        <w:pStyle w:val="Bodytext40"/>
        <w:spacing w:line="240" w:lineRule="auto"/>
        <w:ind w:right="-6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ծագումով՝_______________________</w:t>
      </w:r>
      <w:r w:rsidR="00007E52">
        <w:rPr>
          <w:rFonts w:ascii="Sylfaen" w:hAnsi="Sylfaen"/>
          <w:sz w:val="24"/>
          <w:szCs w:val="24"/>
        </w:rPr>
        <w:t>_______________________________</w:t>
      </w:r>
      <w:r w:rsidR="00007E52" w:rsidRPr="00BF3A80">
        <w:rPr>
          <w:rFonts w:ascii="Sylfaen" w:hAnsi="Sylfaen"/>
          <w:sz w:val="24"/>
          <w:szCs w:val="24"/>
        </w:rPr>
        <w:t>_________</w:t>
      </w:r>
      <w:r w:rsidRPr="000A0FCD">
        <w:rPr>
          <w:rFonts w:ascii="Sylfaen" w:hAnsi="Sylfaen"/>
          <w:sz w:val="24"/>
          <w:szCs w:val="24"/>
        </w:rPr>
        <w:t>(8)</w:t>
      </w:r>
    </w:p>
    <w:p w:rsidR="00BC626B" w:rsidRPr="00007E52" w:rsidRDefault="00BC626B" w:rsidP="00067B20">
      <w:pPr>
        <w:pStyle w:val="Bodytext40"/>
        <w:spacing w:line="240" w:lineRule="auto"/>
        <w:ind w:left="3402"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(երկրի անվանումը)</w:t>
      </w:r>
    </w:p>
    <w:p w:rsidR="00BC626B" w:rsidRPr="000A0FCD" w:rsidRDefault="00BC626B" w:rsidP="00067B20">
      <w:pPr>
        <w:pStyle w:val="Bodytext40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Բուսասանիտարական հավ</w:t>
      </w:r>
      <w:r w:rsidR="00007E52">
        <w:rPr>
          <w:rFonts w:ascii="Sylfaen" w:hAnsi="Sylfaen"/>
          <w:sz w:val="24"/>
          <w:szCs w:val="24"/>
        </w:rPr>
        <w:t>աստագիր _____________________________________</w:t>
      </w:r>
      <w:r w:rsidR="00007E52" w:rsidRPr="00BF3A80">
        <w:rPr>
          <w:rFonts w:ascii="Sylfaen" w:hAnsi="Sylfaen"/>
          <w:sz w:val="24"/>
          <w:szCs w:val="24"/>
        </w:rPr>
        <w:t>_</w:t>
      </w:r>
      <w:r w:rsidRPr="000A0FCD">
        <w:rPr>
          <w:rFonts w:ascii="Sylfaen" w:hAnsi="Sylfaen"/>
          <w:sz w:val="24"/>
          <w:szCs w:val="24"/>
        </w:rPr>
        <w:t>(9)</w:t>
      </w:r>
    </w:p>
    <w:p w:rsidR="00BC626B" w:rsidRPr="00007E52" w:rsidRDefault="00BC626B" w:rsidP="00067B20">
      <w:pPr>
        <w:pStyle w:val="Bodytext40"/>
        <w:spacing w:line="240" w:lineRule="auto"/>
        <w:ind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(բուսասանիտարական հավաստագրի համարը, տրման ամսաթիվը)</w:t>
      </w:r>
    </w:p>
    <w:p w:rsidR="00BC626B" w:rsidRPr="000A0FCD" w:rsidRDefault="00BC626B" w:rsidP="00067B20">
      <w:pPr>
        <w:pStyle w:val="Bodytext40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տրվել է _______________________________</w:t>
      </w:r>
      <w:r w:rsidR="00007E52">
        <w:rPr>
          <w:rFonts w:ascii="Sylfaen" w:hAnsi="Sylfaen"/>
          <w:sz w:val="24"/>
          <w:szCs w:val="24"/>
        </w:rPr>
        <w:t>_______________________________</w:t>
      </w:r>
      <w:r w:rsidR="00007E52" w:rsidRPr="00BF3A80">
        <w:rPr>
          <w:rFonts w:ascii="Sylfaen" w:hAnsi="Sylfaen"/>
          <w:sz w:val="24"/>
          <w:szCs w:val="24"/>
        </w:rPr>
        <w:t>__</w:t>
      </w:r>
      <w:r w:rsidRPr="000A0FCD">
        <w:rPr>
          <w:rFonts w:ascii="Sylfaen" w:hAnsi="Sylfaen"/>
          <w:sz w:val="24"/>
          <w:szCs w:val="24"/>
        </w:rPr>
        <w:t>(10)</w:t>
      </w:r>
    </w:p>
    <w:p w:rsidR="00BC626B" w:rsidRPr="00007E52" w:rsidRDefault="00BC626B" w:rsidP="00067B20">
      <w:pPr>
        <w:pStyle w:val="Bodytext40"/>
        <w:spacing w:line="240" w:lineRule="auto"/>
        <w:ind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(երկրի անվանումը)</w:t>
      </w:r>
    </w:p>
    <w:p w:rsidR="00BC626B" w:rsidRPr="000A0FCD" w:rsidRDefault="00BC626B" w:rsidP="00067B20">
      <w:pPr>
        <w:pStyle w:val="Bodytext40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Ա</w:t>
      </w:r>
      <w:r w:rsidR="00007E52">
        <w:rPr>
          <w:rFonts w:ascii="Sylfaen" w:hAnsi="Sylfaen"/>
          <w:sz w:val="24"/>
          <w:szCs w:val="24"/>
        </w:rPr>
        <w:t>րտահանող (ուղարկող) ___________</w:t>
      </w:r>
      <w:r w:rsidRPr="000A0FCD">
        <w:rPr>
          <w:rFonts w:ascii="Sylfaen" w:hAnsi="Sylfaen"/>
          <w:sz w:val="24"/>
          <w:szCs w:val="24"/>
        </w:rPr>
        <w:t>______</w:t>
      </w:r>
      <w:r w:rsidR="00007E52">
        <w:rPr>
          <w:rFonts w:ascii="Sylfaen" w:hAnsi="Sylfaen"/>
          <w:sz w:val="24"/>
          <w:szCs w:val="24"/>
        </w:rPr>
        <w:t>_______________________________</w:t>
      </w:r>
      <w:r w:rsidRPr="000A0FCD">
        <w:rPr>
          <w:rFonts w:ascii="Sylfaen" w:hAnsi="Sylfaen"/>
          <w:sz w:val="24"/>
          <w:szCs w:val="24"/>
        </w:rPr>
        <w:t>(11)</w:t>
      </w:r>
    </w:p>
    <w:p w:rsidR="00BC626B" w:rsidRPr="00007E52" w:rsidRDefault="00BC626B" w:rsidP="00067B20">
      <w:pPr>
        <w:pStyle w:val="Bodytext40"/>
        <w:spacing w:line="240" w:lineRule="auto"/>
        <w:ind w:left="1701"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 xml:space="preserve">(կազմակերպության անվանումը </w:t>
      </w:r>
      <w:r w:rsidR="00D30066">
        <w:rPr>
          <w:rFonts w:ascii="Sylfaen" w:hAnsi="Sylfaen"/>
          <w:sz w:val="20"/>
          <w:szCs w:val="20"/>
        </w:rPr>
        <w:t>եւ</w:t>
      </w:r>
      <w:r w:rsidRPr="00007E52">
        <w:rPr>
          <w:rFonts w:ascii="Sylfaen" w:hAnsi="Sylfaen"/>
          <w:sz w:val="20"/>
          <w:szCs w:val="20"/>
        </w:rPr>
        <w:t xml:space="preserve"> հասցեն)</w:t>
      </w:r>
    </w:p>
    <w:p w:rsidR="00BC626B" w:rsidRPr="000A0FCD" w:rsidRDefault="00BC626B" w:rsidP="00067B20">
      <w:pPr>
        <w:pStyle w:val="Bodytext40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Ներկրող (ստացող) ___________________</w:t>
      </w:r>
      <w:r w:rsidR="00007E52">
        <w:rPr>
          <w:rFonts w:ascii="Sylfaen" w:hAnsi="Sylfaen"/>
          <w:sz w:val="24"/>
          <w:szCs w:val="24"/>
        </w:rPr>
        <w:t>_______________________________</w:t>
      </w:r>
      <w:r w:rsidR="00007E52" w:rsidRPr="00BF3A80">
        <w:rPr>
          <w:rFonts w:ascii="Sylfaen" w:hAnsi="Sylfaen"/>
          <w:sz w:val="24"/>
          <w:szCs w:val="24"/>
        </w:rPr>
        <w:t>____</w:t>
      </w:r>
      <w:r w:rsidRPr="000A0FCD">
        <w:rPr>
          <w:rFonts w:ascii="Sylfaen" w:hAnsi="Sylfaen"/>
          <w:sz w:val="24"/>
          <w:szCs w:val="24"/>
        </w:rPr>
        <w:t>(12)</w:t>
      </w:r>
    </w:p>
    <w:p w:rsidR="00BC626B" w:rsidRPr="00007E52" w:rsidRDefault="00BC626B" w:rsidP="00067B20">
      <w:pPr>
        <w:pStyle w:val="Bodytext40"/>
        <w:spacing w:line="240" w:lineRule="auto"/>
        <w:ind w:left="1701"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 xml:space="preserve">(կազմակերպության անվանումը </w:t>
      </w:r>
      <w:r w:rsidR="00D30066">
        <w:rPr>
          <w:rFonts w:ascii="Sylfaen" w:hAnsi="Sylfaen"/>
          <w:sz w:val="20"/>
          <w:szCs w:val="20"/>
        </w:rPr>
        <w:t>եւ</w:t>
      </w:r>
      <w:r w:rsidRPr="00007E52">
        <w:rPr>
          <w:rFonts w:ascii="Sylfaen" w:hAnsi="Sylfaen"/>
          <w:sz w:val="20"/>
          <w:szCs w:val="20"/>
        </w:rPr>
        <w:t xml:space="preserve"> հասցեն)</w:t>
      </w:r>
    </w:p>
    <w:p w:rsidR="00BC626B" w:rsidRPr="000A0FCD" w:rsidRDefault="00BC626B" w:rsidP="00067B20">
      <w:pPr>
        <w:pStyle w:val="Bodytext40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 xml:space="preserve">արդյունքում </w:t>
      </w:r>
      <w:r w:rsidR="00007E52" w:rsidRPr="00BF3A80">
        <w:rPr>
          <w:rFonts w:ascii="Sylfaen" w:hAnsi="Sylfaen"/>
          <w:sz w:val="24"/>
          <w:szCs w:val="24"/>
        </w:rPr>
        <w:t>____________________________________________________________</w:t>
      </w:r>
      <w:r w:rsidRPr="000A0FCD">
        <w:rPr>
          <w:rFonts w:ascii="Sylfaen" w:hAnsi="Sylfaen"/>
          <w:sz w:val="24"/>
          <w:szCs w:val="24"/>
        </w:rPr>
        <w:t>(13)</w:t>
      </w:r>
    </w:p>
    <w:p w:rsidR="00BC626B" w:rsidRPr="00007E52" w:rsidRDefault="00BC626B" w:rsidP="00067B20">
      <w:pPr>
        <w:pStyle w:val="Bodytext40"/>
        <w:spacing w:line="240" w:lineRule="auto"/>
        <w:ind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(միջոցառման անվանումը)</w:t>
      </w:r>
    </w:p>
    <w:p w:rsidR="00BC626B" w:rsidRPr="000A0FCD" w:rsidRDefault="00BC626B" w:rsidP="00007E52">
      <w:pPr>
        <w:pStyle w:val="Bodytext40"/>
        <w:spacing w:after="160" w:line="36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պարզվեց՝ ____________________</w:t>
      </w:r>
      <w:r w:rsidR="00007E52" w:rsidRPr="00007E52">
        <w:rPr>
          <w:rFonts w:ascii="Sylfaen" w:hAnsi="Sylfaen"/>
          <w:sz w:val="24"/>
          <w:szCs w:val="24"/>
        </w:rPr>
        <w:t>_____________</w:t>
      </w:r>
      <w:r w:rsidRPr="000A0FCD">
        <w:rPr>
          <w:rFonts w:ascii="Sylfaen" w:hAnsi="Sylfaen"/>
          <w:sz w:val="24"/>
          <w:szCs w:val="24"/>
        </w:rPr>
        <w:t>_____________________________(14)</w:t>
      </w:r>
    </w:p>
    <w:p w:rsidR="00BC626B" w:rsidRPr="000A0FCD" w:rsidRDefault="00BC626B" w:rsidP="00007E52">
      <w:pPr>
        <w:pStyle w:val="Bodytext40"/>
        <w:spacing w:after="160" w:line="36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Կարանտինային հսկողության վերցված արտադրանքի անալիզի կամ փորձաքննության համար ընտրվել են նմուշներ (փորձանմուշներ)՝</w:t>
      </w:r>
      <w:r w:rsidR="00007E52" w:rsidRPr="000A0FCD">
        <w:rPr>
          <w:rFonts w:ascii="Sylfaen" w:hAnsi="Sylfaen"/>
          <w:sz w:val="24"/>
          <w:szCs w:val="24"/>
        </w:rPr>
        <w:t xml:space="preserve"> </w:t>
      </w:r>
      <w:r w:rsidRPr="000A0FCD">
        <w:rPr>
          <w:rFonts w:ascii="Sylfaen" w:hAnsi="Sylfaen"/>
          <w:sz w:val="24"/>
          <w:szCs w:val="24"/>
        </w:rPr>
        <w:t xml:space="preserve">քանակությամբ </w:t>
      </w:r>
      <w:r w:rsidR="00007E52" w:rsidRPr="00007E52">
        <w:rPr>
          <w:rFonts w:ascii="Sylfaen" w:hAnsi="Sylfaen"/>
          <w:sz w:val="24"/>
          <w:szCs w:val="24"/>
        </w:rPr>
        <w:t>________________________________________________________________________</w:t>
      </w:r>
      <w:r w:rsidRPr="000A0FCD">
        <w:rPr>
          <w:rFonts w:ascii="Sylfaen" w:hAnsi="Sylfaen"/>
          <w:sz w:val="24"/>
          <w:szCs w:val="24"/>
        </w:rPr>
        <w:t>(15)</w:t>
      </w:r>
    </w:p>
    <w:p w:rsidR="00BC626B" w:rsidRPr="000A0FCD" w:rsidRDefault="00BC626B" w:rsidP="000A0FCD">
      <w:pPr>
        <w:pStyle w:val="Bodytext40"/>
        <w:spacing w:after="160" w:line="36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Գործողություններ նմուշների (փորձանմուշների) հետ __________________________</w:t>
      </w:r>
      <w:r w:rsidR="00007E52" w:rsidRPr="00BF3A80">
        <w:rPr>
          <w:rFonts w:ascii="Sylfaen" w:hAnsi="Sylfaen"/>
          <w:sz w:val="24"/>
          <w:szCs w:val="24"/>
        </w:rPr>
        <w:t>__________________________________</w:t>
      </w:r>
      <w:r w:rsidR="00007E52">
        <w:rPr>
          <w:rFonts w:ascii="Sylfaen" w:hAnsi="Sylfaen"/>
          <w:sz w:val="24"/>
          <w:szCs w:val="24"/>
        </w:rPr>
        <w:t>___________</w:t>
      </w:r>
      <w:r w:rsidR="00007E52" w:rsidRPr="00BF3A80">
        <w:rPr>
          <w:rFonts w:ascii="Sylfaen" w:hAnsi="Sylfaen"/>
          <w:sz w:val="24"/>
          <w:szCs w:val="24"/>
        </w:rPr>
        <w:t>_</w:t>
      </w:r>
      <w:r w:rsidRPr="000A0FCD">
        <w:rPr>
          <w:rFonts w:ascii="Sylfaen" w:hAnsi="Sylfaen"/>
          <w:sz w:val="24"/>
          <w:szCs w:val="24"/>
        </w:rPr>
        <w:t>(16)</w:t>
      </w:r>
    </w:p>
    <w:p w:rsidR="00BC626B" w:rsidRPr="000A0FCD" w:rsidRDefault="00FB7153" w:rsidP="000A0FCD">
      <w:pPr>
        <w:pStyle w:val="Bodytext40"/>
        <w:spacing w:after="160" w:line="36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Կարգադրվում են</w:t>
      </w:r>
      <w:r w:rsidR="00BC626B" w:rsidRPr="000A0FCD">
        <w:rPr>
          <w:rFonts w:ascii="Sylfaen" w:hAnsi="Sylfaen"/>
          <w:sz w:val="24"/>
          <w:szCs w:val="24"/>
        </w:rPr>
        <w:t xml:space="preserve"> կարանտինային բուսասանիտարական հետ</w:t>
      </w:r>
      <w:r w:rsidR="00D30066">
        <w:rPr>
          <w:rFonts w:ascii="Sylfaen" w:hAnsi="Sylfaen"/>
          <w:sz w:val="24"/>
          <w:szCs w:val="24"/>
        </w:rPr>
        <w:t>եւ</w:t>
      </w:r>
      <w:r w:rsidR="00BC626B" w:rsidRPr="000A0FCD">
        <w:rPr>
          <w:rFonts w:ascii="Sylfaen" w:hAnsi="Sylfaen"/>
          <w:sz w:val="24"/>
          <w:szCs w:val="24"/>
        </w:rPr>
        <w:t>յալ միջոցառումները՝</w:t>
      </w:r>
    </w:p>
    <w:p w:rsidR="00BC626B" w:rsidRPr="000A0FCD" w:rsidRDefault="00BC626B" w:rsidP="000A0FCD">
      <w:pPr>
        <w:pStyle w:val="Bodytext40"/>
        <w:spacing w:after="160" w:line="36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_________________________</w:t>
      </w:r>
      <w:r w:rsidR="00007E52" w:rsidRPr="00007E52">
        <w:rPr>
          <w:rFonts w:ascii="Sylfaen" w:hAnsi="Sylfaen"/>
          <w:sz w:val="24"/>
          <w:szCs w:val="24"/>
        </w:rPr>
        <w:t>_</w:t>
      </w:r>
      <w:r w:rsidRPr="000A0FCD">
        <w:rPr>
          <w:rFonts w:ascii="Sylfaen" w:hAnsi="Sylfaen"/>
          <w:sz w:val="24"/>
          <w:szCs w:val="24"/>
        </w:rPr>
        <w:t>_______________</w:t>
      </w:r>
      <w:r w:rsidR="00007E52">
        <w:rPr>
          <w:rFonts w:ascii="Sylfaen" w:hAnsi="Sylfaen"/>
          <w:sz w:val="24"/>
          <w:szCs w:val="24"/>
        </w:rPr>
        <w:t>_______________________________</w:t>
      </w:r>
      <w:r w:rsidRPr="000A0FCD">
        <w:rPr>
          <w:rFonts w:ascii="Sylfaen" w:hAnsi="Sylfaen"/>
          <w:sz w:val="24"/>
          <w:szCs w:val="24"/>
        </w:rPr>
        <w:t>(</w:t>
      </w:r>
      <w:r w:rsidR="00007E52" w:rsidRPr="00007E52">
        <w:rPr>
          <w:rFonts w:ascii="Sylfaen" w:hAnsi="Sylfaen"/>
          <w:sz w:val="24"/>
          <w:szCs w:val="24"/>
        </w:rPr>
        <w:t>1</w:t>
      </w:r>
      <w:r w:rsidRPr="000A0FCD">
        <w:rPr>
          <w:rFonts w:ascii="Sylfaen" w:hAnsi="Sylfaen"/>
          <w:sz w:val="24"/>
          <w:szCs w:val="24"/>
        </w:rPr>
        <w:t>7)</w:t>
      </w:r>
    </w:p>
    <w:p w:rsidR="00BC626B" w:rsidRPr="000A0FCD" w:rsidRDefault="00BC626B" w:rsidP="00067B20">
      <w:pPr>
        <w:pStyle w:val="Bodytext40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lastRenderedPageBreak/>
        <w:t>Ակտը կազմվել է բեռի սեփականատիրոջ</w:t>
      </w:r>
      <w:r w:rsidR="00007E52" w:rsidRPr="000A0FCD">
        <w:rPr>
          <w:rFonts w:ascii="Sylfaen" w:hAnsi="Sylfaen"/>
          <w:sz w:val="24"/>
          <w:szCs w:val="24"/>
        </w:rPr>
        <w:t xml:space="preserve"> </w:t>
      </w:r>
      <w:r w:rsidRPr="000A0FCD">
        <w:rPr>
          <w:rFonts w:ascii="Sylfaen" w:hAnsi="Sylfaen"/>
          <w:sz w:val="24"/>
          <w:szCs w:val="24"/>
        </w:rPr>
        <w:t>(սեփականատիրոջ ներկայացուցչի) ներկայությամբ _________</w:t>
      </w:r>
      <w:r w:rsidR="00007E52">
        <w:rPr>
          <w:rFonts w:ascii="Sylfaen" w:hAnsi="Sylfaen"/>
          <w:sz w:val="24"/>
          <w:szCs w:val="24"/>
        </w:rPr>
        <w:t>_____</w:t>
      </w:r>
      <w:r w:rsidR="00007E52" w:rsidRPr="00007E52">
        <w:rPr>
          <w:rFonts w:ascii="Sylfaen" w:hAnsi="Sylfaen"/>
          <w:sz w:val="24"/>
          <w:szCs w:val="24"/>
        </w:rPr>
        <w:t>_______</w:t>
      </w:r>
      <w:r w:rsidR="00007E52">
        <w:rPr>
          <w:rFonts w:ascii="Sylfaen" w:hAnsi="Sylfaen"/>
          <w:sz w:val="24"/>
          <w:szCs w:val="24"/>
        </w:rPr>
        <w:t>___ ______________</w:t>
      </w:r>
      <w:r w:rsidR="00007E52" w:rsidRPr="00007E52">
        <w:rPr>
          <w:rFonts w:ascii="Sylfaen" w:hAnsi="Sylfaen"/>
          <w:sz w:val="24"/>
          <w:szCs w:val="24"/>
        </w:rPr>
        <w:t>___________</w:t>
      </w:r>
      <w:r w:rsidR="00007E52">
        <w:rPr>
          <w:rFonts w:ascii="Sylfaen" w:hAnsi="Sylfaen"/>
          <w:sz w:val="24"/>
          <w:szCs w:val="24"/>
        </w:rPr>
        <w:t>________</w:t>
      </w:r>
      <w:r w:rsidRPr="000A0FCD">
        <w:rPr>
          <w:rFonts w:ascii="Sylfaen" w:hAnsi="Sylfaen"/>
          <w:sz w:val="24"/>
          <w:szCs w:val="24"/>
        </w:rPr>
        <w:t>(18)</w:t>
      </w:r>
    </w:p>
    <w:p w:rsidR="00BC626B" w:rsidRPr="00007E52" w:rsidRDefault="00BC626B" w:rsidP="00067B20">
      <w:pPr>
        <w:pStyle w:val="Bodytext40"/>
        <w:spacing w:line="240" w:lineRule="auto"/>
        <w:ind w:right="-6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(ստորագրություն) (Ա.Ա.Հ.)</w:t>
      </w:r>
    </w:p>
    <w:p w:rsidR="00BC626B" w:rsidRPr="000A0FCD" w:rsidRDefault="00BC626B" w:rsidP="00067B20">
      <w:pPr>
        <w:pStyle w:val="Bodytext40"/>
        <w:shd w:val="clear" w:color="auto" w:fill="auto"/>
        <w:spacing w:line="240" w:lineRule="auto"/>
        <w:ind w:right="-6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Լիազորված պաշտոնատար անձ</w:t>
      </w:r>
      <w:r w:rsidR="00007E52" w:rsidRPr="00007E52">
        <w:rPr>
          <w:rFonts w:ascii="Sylfaen" w:hAnsi="Sylfaen"/>
          <w:sz w:val="24"/>
          <w:szCs w:val="24"/>
        </w:rPr>
        <w:t>__</w:t>
      </w:r>
      <w:r w:rsidRPr="000A0FCD">
        <w:rPr>
          <w:rFonts w:ascii="Sylfaen" w:hAnsi="Sylfaen"/>
          <w:sz w:val="24"/>
          <w:szCs w:val="24"/>
        </w:rPr>
        <w:t>_______</w:t>
      </w:r>
      <w:r w:rsidR="00007E52">
        <w:rPr>
          <w:rFonts w:ascii="Sylfaen" w:hAnsi="Sylfaen"/>
          <w:sz w:val="24"/>
          <w:szCs w:val="24"/>
        </w:rPr>
        <w:t>________ _________________</w:t>
      </w:r>
      <w:r w:rsidR="00007E52" w:rsidRPr="00BF3A80">
        <w:rPr>
          <w:rFonts w:ascii="Sylfaen" w:hAnsi="Sylfaen"/>
          <w:sz w:val="24"/>
          <w:szCs w:val="24"/>
        </w:rPr>
        <w:t>__</w:t>
      </w:r>
      <w:r w:rsidR="00007E52">
        <w:rPr>
          <w:rFonts w:ascii="Sylfaen" w:hAnsi="Sylfaen"/>
          <w:sz w:val="24"/>
          <w:szCs w:val="24"/>
        </w:rPr>
        <w:t>_____</w:t>
      </w:r>
      <w:r w:rsidRPr="000A0FCD">
        <w:rPr>
          <w:rFonts w:ascii="Sylfaen" w:hAnsi="Sylfaen"/>
          <w:sz w:val="24"/>
          <w:szCs w:val="24"/>
        </w:rPr>
        <w:t>(19)</w:t>
      </w:r>
    </w:p>
    <w:p w:rsidR="00137BC2" w:rsidRPr="00007E52" w:rsidRDefault="001F7297" w:rsidP="00067B20">
      <w:pPr>
        <w:pStyle w:val="Bodytext20"/>
        <w:shd w:val="clear" w:color="auto" w:fill="auto"/>
        <w:spacing w:after="0" w:line="240" w:lineRule="auto"/>
        <w:ind w:left="4395" w:right="-8"/>
        <w:jc w:val="both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 xml:space="preserve">(ստորագրություն) </w:t>
      </w:r>
      <w:r w:rsidRPr="00007E52">
        <w:rPr>
          <w:rFonts w:ascii="Sylfaen" w:hAnsi="Sylfaen"/>
          <w:sz w:val="20"/>
          <w:szCs w:val="20"/>
        </w:rPr>
        <w:tab/>
        <w:t>(Ա.Ա.Հ.)</w:t>
      </w:r>
    </w:p>
    <w:p w:rsidR="00137BC2" w:rsidRPr="000A0FCD" w:rsidRDefault="001F7297" w:rsidP="000A0FCD">
      <w:pPr>
        <w:pStyle w:val="Bodytext40"/>
        <w:shd w:val="clear" w:color="auto" w:fill="auto"/>
        <w:spacing w:after="160" w:line="360" w:lineRule="auto"/>
        <w:ind w:right="-8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Կ. Տ.</w:t>
      </w:r>
    </w:p>
    <w:p w:rsidR="00137BC2" w:rsidRPr="00007E52" w:rsidRDefault="001F7297" w:rsidP="000A0FCD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Ծանոթագրություններ.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1.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5-րդ դաշտում նշվում է Եվրասիական տնտեսական միության մաքսային սահմանին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Եվրասիական տնտեսական միության մաքսային տարածքում կարանտինային բուսասանիտարական հսկողության (վերահսկողության) ենթակա կարանտինային հսկողության վերցված արտադրանքի անվանումը՝ Հսկողության վերցված արտադրանքի (հսկողության վերցված բեռների, նյութերի, ապրանքների) ցանկին համապատասխան, որը հաստատվել է Մաքսային միության հանձնաժողովի 2010</w:t>
      </w:r>
      <w:r w:rsidR="00007E52" w:rsidRPr="00007E52">
        <w:rPr>
          <w:rFonts w:ascii="Sylfaen" w:hAnsi="Sylfaen"/>
          <w:sz w:val="22"/>
          <w:szCs w:val="22"/>
        </w:rPr>
        <w:t> </w:t>
      </w:r>
      <w:r w:rsidRPr="00007E52">
        <w:rPr>
          <w:rFonts w:ascii="Sylfaen" w:hAnsi="Sylfaen"/>
          <w:sz w:val="22"/>
          <w:szCs w:val="22"/>
        </w:rPr>
        <w:t xml:space="preserve">թվականի հունիսի 18-ի թիվ 318 որոշմամբ,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կարանտինային հսկողության վերցված արտադրանքի քանակը՝ չափումների մետրիկ համակարգով: Այս դաշտում կարող է նշվել կարանտինային հսկողության վերցված արտադրանքի բուսաբանական անվանումը, ինչպես նա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արտադրանքի ծածկագիրը՝ ԵԱՏՄ ԱՏԳ ԱԱ-ին համապատասխան: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2.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6-րդ դաշտում նշվում են </w:t>
      </w:r>
      <w:r w:rsidR="00FB7153" w:rsidRPr="00007E52">
        <w:rPr>
          <w:rFonts w:ascii="Sylfaen" w:hAnsi="Sylfaen"/>
          <w:sz w:val="22"/>
          <w:szCs w:val="22"/>
        </w:rPr>
        <w:t>գլխային</w:t>
      </w:r>
      <w:r w:rsidRPr="00007E52">
        <w:rPr>
          <w:rFonts w:ascii="Sylfaen" w:hAnsi="Sylfaen"/>
          <w:sz w:val="22"/>
          <w:szCs w:val="22"/>
        </w:rPr>
        <w:t xml:space="preserve"> տրանսպորտային միջոցի (քարշակի)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կցորդի (առկայության դեպքում) գրանցման համարները, վագոնի համարը, բեռնարկղի համարը, չվերթի համարը՝ ավիափոխադրումների դեպքում,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նավի անվանումը: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3.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8-րդ դաշտում նշվում է կարանտինային հսկողության վերցված արտադրանքի ծագման երկրի անվանումը, որը նշված է բուսասանիտարական հավաստագրում (առկայության դեպքում):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4.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9-րդ դաշտում նշվում են բուսասանիտարական հավաստագրի համարը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արտահանող երկրի լիազորված մարմնի կողմից դրա տրման ամսաթիվը: Բուսասանիտարական հավաստագրի բացակայության դեպքում այս դաշտում </w:t>
      </w:r>
      <w:r w:rsidR="00007E52">
        <w:rPr>
          <w:rFonts w:ascii="Sylfaen" w:hAnsi="Sylfaen"/>
          <w:sz w:val="22"/>
          <w:szCs w:val="22"/>
        </w:rPr>
        <w:t xml:space="preserve">արվում է </w:t>
      </w:r>
      <w:r w:rsidR="00B82AFC" w:rsidRPr="00007E52">
        <w:rPr>
          <w:rFonts w:ascii="Sylfaen" w:hAnsi="Sylfaen"/>
          <w:sz w:val="22"/>
          <w:szCs w:val="22"/>
        </w:rPr>
        <w:t>«</w:t>
      </w:r>
      <w:r w:rsidR="00060A61" w:rsidRPr="00007E52">
        <w:rPr>
          <w:rFonts w:ascii="Sylfaen" w:hAnsi="Sylfaen"/>
          <w:sz w:val="22"/>
          <w:szCs w:val="22"/>
        </w:rPr>
        <w:t>բացակայում է» նշումը կամ դրվում է գիծ։</w:t>
      </w:r>
    </w:p>
    <w:p w:rsidR="00137BC2" w:rsidRPr="00007E52" w:rsidRDefault="00060A61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5.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10-րդ դաշտում նշվում է այն արտահանող երկրի անվանումը, որի լիազորված մարմինը տրամադրել է բուսասանիտարական սերտիֆիկատը: Բուսասանիտարական հավաստագրի բացակայության դեպքում այս դաշտում արվում է «բացակայում</w:t>
      </w:r>
      <w:r w:rsidR="007739E0" w:rsidRPr="00007E52">
        <w:rPr>
          <w:rFonts w:ascii="Sylfaen" w:hAnsi="Sylfaen"/>
          <w:sz w:val="22"/>
          <w:szCs w:val="22"/>
        </w:rPr>
        <w:t xml:space="preserve"> է» նշումը կամ դրվում է գիծ։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lastRenderedPageBreak/>
        <w:t>6.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11-րդ դաշտում նշվում են ուղարկող կազմակերպության անվանումը (այդ</w:t>
      </w:r>
      <w:r w:rsidR="00007E52" w:rsidRPr="00007E52">
        <w:rPr>
          <w:rFonts w:ascii="Sylfaen" w:hAnsi="Sylfaen"/>
          <w:sz w:val="22"/>
          <w:szCs w:val="22"/>
        </w:rPr>
        <w:t> </w:t>
      </w:r>
      <w:r w:rsidRPr="00007E52">
        <w:rPr>
          <w:rFonts w:ascii="Sylfaen" w:hAnsi="Sylfaen"/>
          <w:sz w:val="22"/>
          <w:szCs w:val="22"/>
        </w:rPr>
        <w:t>թվում՝ կազմակերպաիրավական ձ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ը)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այդ կազմակերպության հասցեն, որոնք նշված են բուսասանիտարական հավաստագրում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ապրանքներն ուղեկցող փաստաթղթերում: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7.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12-րդ դաշտում նշվում են ստացող կազմակերպության անվանումը (այդ թվում՝ կազմակերպաիրավական ձ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ը)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այդ կազմակերպության հասցեն, որոնք նշված են բուսասանիտարական հավաստագրում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ապրանքներն ուղեկցող փաստաթղթերում: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8.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13-րդ դաշտում նշվում են Եվրասիական տնտեսական միության անդամ պետության լիազորված պաշտոնատար անձի կողմից անցկացված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Եվրասիական</w:t>
      </w:r>
      <w:r w:rsidR="00007E52" w:rsidRPr="00007E52">
        <w:rPr>
          <w:rFonts w:ascii="Sylfaen" w:hAnsi="Sylfaen"/>
          <w:sz w:val="22"/>
          <w:szCs w:val="22"/>
        </w:rPr>
        <w:t> </w:t>
      </w:r>
      <w:r w:rsidRPr="00007E52">
        <w:rPr>
          <w:rFonts w:ascii="Sylfaen" w:hAnsi="Sylfaen"/>
          <w:sz w:val="22"/>
          <w:szCs w:val="22"/>
        </w:rPr>
        <w:t xml:space="preserve">տնտեսական միության իրավունքի մաս կազմող ակտերով նախատեսված միջոցառումները (փաստաթղթային ստուգում, կարանտինային հսկողության վերցված արտադրանքի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տրանսպորտային միջոցների զննում, կարանտինային հսկողության վերցված արտադրանքի ստուգազննում)։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6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9.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14-րդ դաշտում նշվում է Եվրասիական տնտեսական միության իրավունքի մաս կազմող միջազգային պայմանագրերի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ակտերի հիմնադրույթների </w:t>
      </w:r>
      <w:r w:rsidR="00901B9F" w:rsidRPr="00007E52">
        <w:rPr>
          <w:rFonts w:ascii="Sylfaen" w:hAnsi="Sylfaen"/>
          <w:sz w:val="22"/>
          <w:szCs w:val="22"/>
        </w:rPr>
        <w:t xml:space="preserve">ու </w:t>
      </w:r>
      <w:r w:rsidRPr="00007E52">
        <w:rPr>
          <w:rFonts w:ascii="Sylfaen" w:hAnsi="Sylfaen"/>
          <w:sz w:val="22"/>
          <w:szCs w:val="22"/>
        </w:rPr>
        <w:t>Եվրասիական</w:t>
      </w:r>
      <w:r w:rsidR="00007E52" w:rsidRPr="00007E52">
        <w:rPr>
          <w:rFonts w:ascii="Sylfaen" w:hAnsi="Sylfaen"/>
          <w:sz w:val="22"/>
          <w:szCs w:val="22"/>
        </w:rPr>
        <w:t> </w:t>
      </w:r>
      <w:r w:rsidRPr="00007E52">
        <w:rPr>
          <w:rFonts w:ascii="Sylfaen" w:hAnsi="Sylfaen"/>
          <w:sz w:val="22"/>
          <w:szCs w:val="22"/>
        </w:rPr>
        <w:t xml:space="preserve">տնտեսական միության անդամ պետությունների օրենսդրության </w:t>
      </w:r>
      <w:r w:rsidRPr="00007E52">
        <w:rPr>
          <w:rFonts w:ascii="Sylfaen" w:hAnsi="Sylfaen"/>
          <w:spacing w:val="-6"/>
          <w:sz w:val="22"/>
          <w:szCs w:val="22"/>
        </w:rPr>
        <w:t>խախտումները հայտնաբերելու (չհայտնաբերելու) վերաբերյալ, ինչպես նա</w:t>
      </w:r>
      <w:r w:rsidR="00D30066">
        <w:rPr>
          <w:rFonts w:ascii="Sylfaen" w:hAnsi="Sylfaen"/>
          <w:spacing w:val="-6"/>
          <w:sz w:val="22"/>
          <w:szCs w:val="22"/>
        </w:rPr>
        <w:t>եւ</w:t>
      </w:r>
      <w:r w:rsidRPr="00007E52">
        <w:rPr>
          <w:rFonts w:ascii="Sylfaen" w:hAnsi="Sylfaen"/>
          <w:spacing w:val="-6"/>
          <w:sz w:val="22"/>
          <w:szCs w:val="22"/>
        </w:rPr>
        <w:t xml:space="preserve"> կարանտինային օբյեկտներով կարանտինային հսկողության վերցված արտադրանքի վարակվածության նշանների վերաբերյալ տեղեկատվությունը, որն ստացվել</w:t>
      </w:r>
      <w:r w:rsidRPr="00007E52">
        <w:rPr>
          <w:rFonts w:ascii="Sylfaen" w:hAnsi="Sylfaen"/>
          <w:sz w:val="22"/>
          <w:szCs w:val="22"/>
        </w:rPr>
        <w:t xml:space="preserve"> է 13-րդ դաշտում նշված միջոցառումներն անցկացնելու արդյունքում: 14-րդ դաշտում պետք է նշել հայտնաբերված խախտման մասին մանրամասն տեղեկատվությունը՝ հղում կատարելով այն նորմին, որը խախտվել էր (ակտի անվանումը, հոդվածը, կետը, պարբերությունը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այլն): Կարանտինային օբյեկտներին մորֆոլոգիական հատկանիշներով նման օրգանիզմներ, բույսերի հիվանդությունների հարուցիչների առկայության նշաններ, մոլախոտային բույսերի սերմերի առկայություն հայտնաբերելու դեպքում՝ համապատասխան տեղեկատվությունը նշվում է 14-րդ դաշտում: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84" w:lineRule="auto"/>
        <w:ind w:right="-6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10.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15-րդ դաշտում նշվում է կարանտինային հսկողության վերցված արտադրանքի ընտրված նմուշների (փորձանմուշների) քանակը՝ չափման համապատասխան միավորներով (հատ, կգ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այլն), ինչպես նա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>՝ ընտրված նմուշների (փորձանմուշների) պիտակների համարները (առկայության դեպքում):</w:t>
      </w:r>
    </w:p>
    <w:p w:rsidR="00137BC2" w:rsidRPr="00007E52" w:rsidRDefault="007739E0" w:rsidP="00067B20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lastRenderedPageBreak/>
        <w:t>11.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16-րդ դաշտում նշվում է նմուշների (փորձանմուշների) հետ գործողությունների վերաբերյալ տեղեկատվությունը (ընտրված նմուշների (փորձանմուշների) ուղարկումը կարանտինային բուսասանիտարական լաբորատորիա կամ փորձագիտական կազմակերպություն (նշելով դրանց անվանումը)) կամ նշում է արվում՝ «անալիզը կատարվել է տեղում» կամ «նմուշը չի ընտրվել»:</w:t>
      </w:r>
    </w:p>
    <w:p w:rsidR="00137BC2" w:rsidRPr="00007E52" w:rsidRDefault="007739E0" w:rsidP="00067B20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12.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17-րդ դաշտում նշվում է հսկողության վերցված արտադրանքի նկատմամբ միջոցառումների անցկացման արդյունքում ընդունված որոշման վերաբերյալ տեղեկատվությունը:</w:t>
      </w:r>
    </w:p>
    <w:p w:rsidR="00137BC2" w:rsidRPr="00007E52" w:rsidRDefault="007739E0" w:rsidP="00067B20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13.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Կարանտինային բուսասանիտարական հսկողության (վերահսկողության) ակտերի ձ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ակերպված բնօրինակներում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պատճեններում դաշտերի համարակալումը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ծանոթագրությունները չեն նշվում:</w:t>
      </w:r>
    </w:p>
    <w:p w:rsidR="00F7128F" w:rsidRPr="00BF3A80" w:rsidRDefault="00F7128F" w:rsidP="00067B20">
      <w:pPr>
        <w:pStyle w:val="Headingnumber50"/>
        <w:shd w:val="clear" w:color="auto" w:fill="auto"/>
        <w:spacing w:before="0" w:after="160" w:line="240" w:lineRule="auto"/>
        <w:ind w:left="4961" w:right="-6"/>
        <w:jc w:val="both"/>
        <w:rPr>
          <w:rFonts w:ascii="Sylfaen" w:hAnsi="Sylfaen"/>
          <w:sz w:val="22"/>
          <w:szCs w:val="22"/>
        </w:rPr>
      </w:pPr>
    </w:p>
    <w:p w:rsidR="00137BC2" w:rsidRPr="000A0FCD" w:rsidRDefault="001F7297" w:rsidP="00067B20">
      <w:pPr>
        <w:pStyle w:val="Headingnumber50"/>
        <w:shd w:val="clear" w:color="auto" w:fill="auto"/>
        <w:spacing w:before="0" w:after="160" w:line="24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Հավելված</w:t>
      </w:r>
    </w:p>
    <w:p w:rsidR="00F7128F" w:rsidRPr="000A0FCD" w:rsidRDefault="001F7297" w:rsidP="00007E52">
      <w:pPr>
        <w:pStyle w:val="Heading50"/>
        <w:shd w:val="clear" w:color="auto" w:fill="auto"/>
        <w:spacing w:before="0" w:after="160" w:line="360" w:lineRule="auto"/>
        <w:ind w:left="4536" w:right="-6"/>
        <w:jc w:val="center"/>
        <w:outlineLvl w:val="9"/>
        <w:rPr>
          <w:rFonts w:ascii="Sylfaen" w:hAnsi="Sylfaen"/>
          <w:sz w:val="24"/>
          <w:szCs w:val="24"/>
        </w:rPr>
      </w:pPr>
      <w:bookmarkStart w:id="1" w:name="bookmark2"/>
      <w:r w:rsidRPr="000A0FCD">
        <w:rPr>
          <w:rFonts w:ascii="Sylfaen" w:hAnsi="Sylfaen"/>
          <w:sz w:val="24"/>
          <w:szCs w:val="24"/>
        </w:rPr>
        <w:t>կարանտինային բուսասանիտարական հսկողության (վերահսկողության) ակտի</w:t>
      </w:r>
    </w:p>
    <w:p w:rsidR="00137BC2" w:rsidRPr="000A0FCD" w:rsidRDefault="001F7297" w:rsidP="00067B20">
      <w:pPr>
        <w:pStyle w:val="Heading50"/>
        <w:shd w:val="clear" w:color="auto" w:fill="auto"/>
        <w:spacing w:before="0" w:after="160" w:line="240" w:lineRule="auto"/>
        <w:ind w:left="4536" w:right="-6"/>
        <w:jc w:val="center"/>
        <w:outlineLvl w:val="9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__________-ի №</w:t>
      </w:r>
      <w:bookmarkEnd w:id="1"/>
      <w:r w:rsidRPr="000A0FCD">
        <w:rPr>
          <w:rFonts w:ascii="Sylfaen" w:hAnsi="Sylfaen"/>
          <w:sz w:val="24"/>
          <w:szCs w:val="24"/>
        </w:rPr>
        <w:t xml:space="preserve"> _____________</w:t>
      </w:r>
    </w:p>
    <w:p w:rsidR="00F7128F" w:rsidRPr="000A0FCD" w:rsidRDefault="00F7128F" w:rsidP="00067B20">
      <w:pPr>
        <w:pStyle w:val="Heading50"/>
        <w:shd w:val="clear" w:color="auto" w:fill="auto"/>
        <w:spacing w:before="0" w:after="160" w:line="240" w:lineRule="auto"/>
        <w:ind w:left="4536" w:right="-6"/>
        <w:jc w:val="both"/>
        <w:outlineLvl w:val="9"/>
        <w:rPr>
          <w:rFonts w:ascii="Sylfaen" w:hAnsi="Sylfaen"/>
          <w:sz w:val="24"/>
          <w:szCs w:val="24"/>
        </w:rPr>
      </w:pPr>
    </w:p>
    <w:tbl>
      <w:tblPr>
        <w:tblOverlap w:val="never"/>
        <w:tblW w:w="10414" w:type="dxa"/>
        <w:jc w:val="center"/>
        <w:tblInd w:w="-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001"/>
        <w:gridCol w:w="2353"/>
        <w:gridCol w:w="2033"/>
        <w:gridCol w:w="1036"/>
        <w:gridCol w:w="728"/>
        <w:gridCol w:w="1634"/>
      </w:tblGrid>
      <w:tr w:rsidR="00327494" w:rsidRPr="000A0FCD" w:rsidTr="00007E52">
        <w:trPr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901B9F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Թիվ</w:t>
            </w:r>
          </w:p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Կարանտինային հսկողության վերցված արտադրանքի անվանումը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Բուսասանիտարական հավաստագրի համարը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494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Կարանտինային հսկողության վերցված արտադրանքի քանակը</w:t>
            </w:r>
          </w:p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(չափման համապատասխան միավորներով)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Ընտրված միջին նմուշը (փորձանմուշը)</w:t>
            </w:r>
          </w:p>
        </w:tc>
      </w:tr>
      <w:tr w:rsidR="00327494" w:rsidRPr="000A0FCD" w:rsidTr="00007E52">
        <w:trPr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քանակը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չափ. միավ.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գործողություն նմուշի (փորձանմուշի) հետ</w:t>
            </w:r>
          </w:p>
        </w:tc>
      </w:tr>
      <w:tr w:rsidR="00327494" w:rsidRPr="000A0FCD" w:rsidTr="00007E5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327494" w:rsidRPr="000A0FCD" w:rsidTr="00007E5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327494" w:rsidRPr="000A0FCD" w:rsidTr="00007E5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327494" w:rsidRPr="000A0FCD" w:rsidTr="00007E5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</w:tr>
      <w:tr w:rsidR="00327494" w:rsidRPr="000A0FCD" w:rsidTr="00007E52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</w:tr>
    </w:tbl>
    <w:p w:rsidR="00137BC2" w:rsidRPr="000A0FCD" w:rsidRDefault="00137BC2" w:rsidP="00067B20">
      <w:pPr>
        <w:spacing w:after="160"/>
        <w:ind w:right="-6"/>
        <w:jc w:val="both"/>
      </w:pPr>
    </w:p>
    <w:p w:rsidR="00137BC2" w:rsidRPr="000A0FCD" w:rsidRDefault="001F7297" w:rsidP="00067B20">
      <w:pPr>
        <w:pStyle w:val="Bodytext40"/>
        <w:shd w:val="clear" w:color="auto" w:fill="auto"/>
        <w:spacing w:line="240" w:lineRule="auto"/>
        <w:ind w:right="-6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Լիազորված պաշտոնատար անձ________________ __</w:t>
      </w:r>
      <w:r w:rsidR="00007E52">
        <w:rPr>
          <w:rFonts w:ascii="Sylfaen" w:hAnsi="Sylfaen"/>
          <w:sz w:val="24"/>
          <w:szCs w:val="24"/>
          <w:lang w:val="en-US"/>
        </w:rPr>
        <w:t>__</w:t>
      </w:r>
      <w:r w:rsidRPr="000A0FCD">
        <w:rPr>
          <w:rFonts w:ascii="Sylfaen" w:hAnsi="Sylfaen"/>
          <w:sz w:val="24"/>
          <w:szCs w:val="24"/>
        </w:rPr>
        <w:t>________________________</w:t>
      </w:r>
    </w:p>
    <w:p w:rsidR="00137BC2" w:rsidRPr="00007E52" w:rsidRDefault="001F7297" w:rsidP="00067B20">
      <w:pPr>
        <w:pStyle w:val="Bodytext20"/>
        <w:shd w:val="clear" w:color="auto" w:fill="auto"/>
        <w:spacing w:after="0" w:line="240" w:lineRule="auto"/>
        <w:ind w:left="4395" w:right="-8"/>
        <w:jc w:val="left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(ստորագրություն)                   (Ա.Ա.Հ.)</w:t>
      </w:r>
    </w:p>
    <w:p w:rsidR="00137BC2" w:rsidRPr="000A0FCD" w:rsidRDefault="00327494" w:rsidP="00007E52">
      <w:pPr>
        <w:pStyle w:val="Heading220"/>
        <w:shd w:val="clear" w:color="auto" w:fill="auto"/>
        <w:spacing w:before="0" w:after="160" w:line="384" w:lineRule="auto"/>
        <w:ind w:right="-6"/>
        <w:outlineLvl w:val="9"/>
        <w:rPr>
          <w:rFonts w:ascii="Sylfaen" w:hAnsi="Sylfaen"/>
          <w:spacing w:val="0"/>
          <w:sz w:val="24"/>
          <w:szCs w:val="24"/>
        </w:rPr>
      </w:pPr>
      <w:bookmarkStart w:id="2" w:name="bookmark3"/>
      <w:r w:rsidRPr="000A0FCD">
        <w:rPr>
          <w:rFonts w:ascii="Sylfaen" w:hAnsi="Sylfaen"/>
          <w:spacing w:val="0"/>
          <w:sz w:val="24"/>
          <w:szCs w:val="24"/>
        </w:rPr>
        <w:lastRenderedPageBreak/>
        <w:t>Կ. Տ.»:</w:t>
      </w:r>
      <w:bookmarkEnd w:id="2"/>
    </w:p>
    <w:p w:rsidR="00137BC2" w:rsidRPr="000A0FCD" w:rsidRDefault="001F7297" w:rsidP="00007E52">
      <w:pPr>
        <w:pStyle w:val="Bodytext40"/>
        <w:shd w:val="clear" w:color="auto" w:fill="auto"/>
        <w:tabs>
          <w:tab w:val="left" w:pos="1134"/>
        </w:tabs>
        <w:spacing w:after="160" w:line="384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2.</w:t>
      </w:r>
      <w:r w:rsidR="00007E52" w:rsidRPr="00007E52">
        <w:rPr>
          <w:rFonts w:ascii="Sylfaen" w:hAnsi="Sylfaen"/>
          <w:sz w:val="24"/>
          <w:szCs w:val="24"/>
        </w:rPr>
        <w:tab/>
      </w:r>
      <w:r w:rsidRPr="00007E52">
        <w:rPr>
          <w:rFonts w:ascii="Sylfaen" w:hAnsi="Sylfaen"/>
          <w:spacing w:val="-6"/>
          <w:sz w:val="24"/>
          <w:szCs w:val="24"/>
        </w:rPr>
        <w:t>Նշված որոշմամբ հաստատված՝ «Եվրասիական տնտեսական միության մաքսային տարածքում կարանտինային բուսասանիտարական հսկողության (վերահսկողության) իրականացման կարգի մասին» հիմնադրույթ</w:t>
      </w:r>
      <w:r w:rsidRPr="000A0FCD">
        <w:rPr>
          <w:rFonts w:ascii="Sylfaen" w:hAnsi="Sylfaen"/>
          <w:sz w:val="24"/>
          <w:szCs w:val="24"/>
        </w:rPr>
        <w:t>ի թիվ 1 հավելվածը շարադրել հետ</w:t>
      </w:r>
      <w:r w:rsidR="00D30066">
        <w:rPr>
          <w:rFonts w:ascii="Sylfaen" w:hAnsi="Sylfaen"/>
          <w:sz w:val="24"/>
          <w:szCs w:val="24"/>
        </w:rPr>
        <w:t>եւ</w:t>
      </w:r>
      <w:r w:rsidRPr="000A0FCD">
        <w:rPr>
          <w:rFonts w:ascii="Sylfaen" w:hAnsi="Sylfaen"/>
          <w:sz w:val="24"/>
          <w:szCs w:val="24"/>
        </w:rPr>
        <w:t>յալ խմբագրությամբ.</w:t>
      </w:r>
    </w:p>
    <w:p w:rsidR="00007E52" w:rsidRPr="00BF3A80" w:rsidRDefault="00007E52" w:rsidP="000A0FCD">
      <w:pPr>
        <w:pStyle w:val="Bodytext40"/>
        <w:shd w:val="clear" w:color="auto" w:fill="auto"/>
        <w:spacing w:after="160" w:line="360" w:lineRule="auto"/>
        <w:ind w:left="3828" w:right="-8"/>
        <w:jc w:val="both"/>
        <w:rPr>
          <w:rFonts w:ascii="Sylfaen" w:hAnsi="Sylfaen"/>
          <w:sz w:val="24"/>
          <w:szCs w:val="24"/>
        </w:rPr>
      </w:pPr>
    </w:p>
    <w:p w:rsidR="00137BC2" w:rsidRPr="000A0FCD" w:rsidRDefault="00067B20" w:rsidP="00007E52">
      <w:pPr>
        <w:pStyle w:val="Bodytext40"/>
        <w:shd w:val="clear" w:color="auto" w:fill="auto"/>
        <w:spacing w:after="160" w:line="360" w:lineRule="auto"/>
        <w:ind w:left="3402" w:right="-8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 xml:space="preserve"> </w:t>
      </w:r>
      <w:r w:rsidR="001F7297" w:rsidRPr="000A0FCD">
        <w:rPr>
          <w:rFonts w:ascii="Sylfaen" w:hAnsi="Sylfaen"/>
          <w:sz w:val="24"/>
          <w:szCs w:val="24"/>
        </w:rPr>
        <w:t>«ՀԱՎԵԼՎԱԾ ԹԻՎ 1</w:t>
      </w:r>
    </w:p>
    <w:p w:rsidR="00137BC2" w:rsidRPr="000A0FCD" w:rsidRDefault="001F7297" w:rsidP="00007E52">
      <w:pPr>
        <w:pStyle w:val="Bodytext40"/>
        <w:shd w:val="clear" w:color="auto" w:fill="auto"/>
        <w:spacing w:after="160" w:line="360" w:lineRule="auto"/>
        <w:ind w:left="3402" w:right="-8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«Եվրասիական տնտեսական միության մաքսային տարածքում կարանտինային բուսասանիտարական հսկողության (վերահսկողության) իրականացման կարգի մասին» հիմնադրույթի (Եվրասիական տնտեսական հանձնաժողովի խորհրդի 2016 թվականի մայիսի</w:t>
      </w:r>
      <w:r w:rsidR="00007E52" w:rsidRPr="00BF3A80">
        <w:rPr>
          <w:rFonts w:ascii="Sylfaen" w:hAnsi="Sylfaen"/>
          <w:sz w:val="24"/>
          <w:szCs w:val="24"/>
        </w:rPr>
        <w:t> </w:t>
      </w:r>
      <w:r w:rsidRPr="000A0FCD">
        <w:rPr>
          <w:rFonts w:ascii="Sylfaen" w:hAnsi="Sylfaen"/>
          <w:sz w:val="24"/>
          <w:szCs w:val="24"/>
        </w:rPr>
        <w:t>16-ի թիվ 36 որոշման խմբագրությամբ)</w:t>
      </w:r>
    </w:p>
    <w:p w:rsidR="00007E52" w:rsidRPr="00BF3A80" w:rsidRDefault="00007E52" w:rsidP="00007E52">
      <w:pPr>
        <w:pStyle w:val="Bodytext30"/>
        <w:shd w:val="clear" w:color="auto" w:fill="auto"/>
        <w:spacing w:after="160" w:line="360" w:lineRule="auto"/>
        <w:ind w:right="-8"/>
        <w:rPr>
          <w:rStyle w:val="Bodytext3Spacing4pt"/>
          <w:rFonts w:ascii="Sylfaen" w:hAnsi="Sylfaen"/>
          <w:b/>
          <w:spacing w:val="0"/>
          <w:sz w:val="24"/>
          <w:szCs w:val="24"/>
        </w:rPr>
      </w:pPr>
    </w:p>
    <w:p w:rsidR="00137BC2" w:rsidRPr="000A0FCD" w:rsidRDefault="001F7297" w:rsidP="00067B20">
      <w:pPr>
        <w:pStyle w:val="Bodytext30"/>
        <w:shd w:val="clear" w:color="auto" w:fill="auto"/>
        <w:spacing w:after="160" w:line="480" w:lineRule="auto"/>
        <w:ind w:right="-6"/>
        <w:rPr>
          <w:rFonts w:ascii="Sylfaen" w:hAnsi="Sylfaen"/>
          <w:sz w:val="24"/>
          <w:szCs w:val="24"/>
        </w:rPr>
      </w:pPr>
      <w:r w:rsidRPr="000A0FCD">
        <w:rPr>
          <w:rStyle w:val="Bodytext3Spacing4pt"/>
          <w:rFonts w:ascii="Sylfaen" w:hAnsi="Sylfaen"/>
          <w:b/>
          <w:spacing w:val="0"/>
          <w:sz w:val="24"/>
          <w:szCs w:val="24"/>
        </w:rPr>
        <w:t>ՁԵՎ</w:t>
      </w:r>
    </w:p>
    <w:p w:rsidR="00137BC2" w:rsidRPr="000A0FCD" w:rsidRDefault="001F7297" w:rsidP="00007E52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կարանտինային բուսասանիտարական հսկողության (վերահսկողության) ակտի</w:t>
      </w:r>
    </w:p>
    <w:p w:rsidR="00137BC2" w:rsidRPr="000A0FCD" w:rsidRDefault="001F7297" w:rsidP="00067B20">
      <w:pPr>
        <w:pStyle w:val="Heading420"/>
        <w:shd w:val="clear" w:color="auto" w:fill="auto"/>
        <w:spacing w:before="0" w:after="0" w:line="240" w:lineRule="auto"/>
        <w:ind w:right="-6"/>
        <w:jc w:val="center"/>
        <w:outlineLvl w:val="9"/>
        <w:rPr>
          <w:rFonts w:ascii="Sylfaen" w:hAnsi="Sylfaen"/>
          <w:sz w:val="24"/>
          <w:szCs w:val="24"/>
        </w:rPr>
      </w:pPr>
      <w:r w:rsidRPr="000A0FCD">
        <w:rPr>
          <w:rStyle w:val="Bodytext4"/>
          <w:rFonts w:ascii="Sylfaen" w:eastAsia="Lucida Sans Unicode" w:hAnsi="Sylfaen"/>
          <w:sz w:val="24"/>
          <w:szCs w:val="24"/>
        </w:rPr>
        <w:t>________________________________________________________________________</w:t>
      </w:r>
      <w:bookmarkStart w:id="3" w:name="bookmark4"/>
      <w:r w:rsidRPr="000A0FCD">
        <w:rPr>
          <w:rFonts w:ascii="Sylfaen" w:hAnsi="Sylfaen"/>
          <w:sz w:val="24"/>
          <w:szCs w:val="24"/>
        </w:rPr>
        <w:t>(</w:t>
      </w:r>
      <w:r w:rsidRPr="000A0FCD">
        <w:rPr>
          <w:rStyle w:val="Heading4213pt"/>
          <w:rFonts w:ascii="Sylfaen" w:hAnsi="Sylfaen"/>
          <w:sz w:val="24"/>
          <w:szCs w:val="24"/>
        </w:rPr>
        <w:t>1</w:t>
      </w:r>
      <w:r w:rsidRPr="000A0FCD">
        <w:rPr>
          <w:rFonts w:ascii="Sylfaen" w:hAnsi="Sylfaen"/>
          <w:sz w:val="24"/>
          <w:szCs w:val="24"/>
        </w:rPr>
        <w:t>)</w:t>
      </w:r>
      <w:bookmarkEnd w:id="3"/>
    </w:p>
    <w:p w:rsidR="00137BC2" w:rsidRPr="00007E52" w:rsidRDefault="001F7297" w:rsidP="00067B20">
      <w:pPr>
        <w:pStyle w:val="Bodytext20"/>
        <w:shd w:val="clear" w:color="auto" w:fill="auto"/>
        <w:spacing w:after="0" w:line="240" w:lineRule="auto"/>
        <w:ind w:left="567" w:right="-8"/>
        <w:jc w:val="center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>(ակտը տրամադրած լիազորված մարմնի անվանումը)</w:t>
      </w:r>
    </w:p>
    <w:p w:rsidR="00327494" w:rsidRPr="000A0FCD" w:rsidRDefault="00327494" w:rsidP="00067B20">
      <w:pPr>
        <w:pStyle w:val="Bodytext40"/>
        <w:shd w:val="clear" w:color="auto" w:fill="auto"/>
        <w:spacing w:line="240" w:lineRule="auto"/>
        <w:ind w:right="-8"/>
        <w:jc w:val="both"/>
        <w:rPr>
          <w:rFonts w:ascii="Sylfaen" w:hAnsi="Sylfaen"/>
          <w:sz w:val="24"/>
          <w:szCs w:val="24"/>
        </w:rPr>
      </w:pPr>
    </w:p>
    <w:p w:rsidR="00137BC2" w:rsidRPr="000A0FCD" w:rsidRDefault="001F7297" w:rsidP="00067B20">
      <w:pPr>
        <w:pStyle w:val="Bodytext40"/>
        <w:shd w:val="clear" w:color="auto" w:fill="auto"/>
        <w:spacing w:after="160" w:line="480" w:lineRule="auto"/>
        <w:ind w:right="-6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ԱԿՏ</w:t>
      </w:r>
    </w:p>
    <w:p w:rsidR="00137BC2" w:rsidRPr="000A0FCD" w:rsidRDefault="001F7297" w:rsidP="00007E52">
      <w:pPr>
        <w:pStyle w:val="Bodytext4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կարանտինային բուսասանիտարական հսկողության (վերահսկողության)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3"/>
        <w:gridCol w:w="4651"/>
      </w:tblGrid>
      <w:tr w:rsidR="00137BC2" w:rsidRPr="000A0FCD" w:rsidTr="007739E0">
        <w:trPr>
          <w:jc w:val="center"/>
        </w:trPr>
        <w:tc>
          <w:tcPr>
            <w:tcW w:w="5173" w:type="dxa"/>
            <w:shd w:val="clear" w:color="auto" w:fill="FFFFFF"/>
            <w:vAlign w:val="bottom"/>
          </w:tcPr>
          <w:p w:rsidR="00137BC2" w:rsidRPr="000A0FCD" w:rsidRDefault="00007E52" w:rsidP="00067B20">
            <w:pPr>
              <w:pStyle w:val="Bodytext20"/>
              <w:shd w:val="clear" w:color="auto" w:fill="auto"/>
              <w:spacing w:after="0" w:line="240" w:lineRule="auto"/>
              <w:ind w:right="-6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_____________________</w:t>
            </w:r>
            <w:r w:rsidR="001F7297" w:rsidRPr="000A0FCD">
              <w:rPr>
                <w:rFonts w:ascii="Sylfaen" w:hAnsi="Sylfaen"/>
              </w:rPr>
              <w:t>(2)</w:t>
            </w:r>
          </w:p>
          <w:p w:rsidR="00137BC2" w:rsidRPr="00007E52" w:rsidRDefault="001F7297" w:rsidP="00067B20">
            <w:pPr>
              <w:pStyle w:val="Bodytext20"/>
              <w:shd w:val="clear" w:color="auto" w:fill="auto"/>
              <w:spacing w:after="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007E52">
              <w:rPr>
                <w:rFonts w:ascii="Sylfaen" w:hAnsi="Sylfaen"/>
                <w:sz w:val="20"/>
                <w:szCs w:val="20"/>
              </w:rPr>
              <w:t>(տրման ամսաթիվը)</w:t>
            </w:r>
          </w:p>
        </w:tc>
        <w:tc>
          <w:tcPr>
            <w:tcW w:w="4651" w:type="dxa"/>
            <w:shd w:val="clear" w:color="auto" w:fill="FFFFFF"/>
          </w:tcPr>
          <w:p w:rsidR="00137BC2" w:rsidRPr="000A0FCD" w:rsidRDefault="003B217D" w:rsidP="00007E52">
            <w:pPr>
              <w:pStyle w:val="Bodytext20"/>
              <w:shd w:val="clear" w:color="auto" w:fill="auto"/>
              <w:spacing w:after="160" w:line="360" w:lineRule="auto"/>
              <w:ind w:right="-8"/>
              <w:jc w:val="center"/>
              <w:rPr>
                <w:rFonts w:ascii="Sylfaen" w:hAnsi="Sylfaen"/>
              </w:rPr>
            </w:pPr>
            <w:r w:rsidRPr="000A0FCD">
              <w:rPr>
                <w:rFonts w:ascii="Sylfaen" w:hAnsi="Sylfaen"/>
              </w:rPr>
              <w:t xml:space="preserve">թիվ </w:t>
            </w:r>
            <w:r w:rsidR="001F7297" w:rsidRPr="000A0FCD">
              <w:rPr>
                <w:rFonts w:ascii="Sylfaen" w:hAnsi="Sylfaen"/>
              </w:rPr>
              <w:t>__________________(3)</w:t>
            </w:r>
          </w:p>
        </w:tc>
      </w:tr>
    </w:tbl>
    <w:p w:rsidR="00137BC2" w:rsidRPr="000A0FCD" w:rsidRDefault="00137BC2" w:rsidP="000A0FCD">
      <w:pPr>
        <w:spacing w:after="160" w:line="360" w:lineRule="auto"/>
        <w:ind w:right="-8"/>
        <w:jc w:val="both"/>
      </w:pPr>
    </w:p>
    <w:p w:rsidR="00BC626B" w:rsidRPr="000A0FCD" w:rsidRDefault="00BC626B" w:rsidP="00067B20">
      <w:pPr>
        <w:ind w:right="-6"/>
        <w:jc w:val="both"/>
      </w:pPr>
      <w:r w:rsidRPr="000A0FCD">
        <w:t>Իմ՝ լիազորված պաշտոնատար անձի կողմից,</w:t>
      </w:r>
      <w:r w:rsidR="00007E52">
        <w:t xml:space="preserve"> ______________________________</w:t>
      </w:r>
      <w:r w:rsidR="00007E52" w:rsidRPr="00007E52">
        <w:t>_</w:t>
      </w:r>
      <w:r w:rsidRPr="000A0FCD">
        <w:t>(4)</w:t>
      </w:r>
    </w:p>
    <w:p w:rsidR="00BC626B" w:rsidRPr="00007E52" w:rsidRDefault="00BC626B" w:rsidP="00067B20">
      <w:pPr>
        <w:ind w:left="5670" w:right="-6"/>
        <w:jc w:val="both"/>
        <w:rPr>
          <w:sz w:val="20"/>
          <w:szCs w:val="20"/>
        </w:rPr>
      </w:pPr>
      <w:r w:rsidRPr="00007E52">
        <w:rPr>
          <w:sz w:val="20"/>
          <w:szCs w:val="20"/>
        </w:rPr>
        <w:t>(պաշտոնը</w:t>
      </w:r>
      <w:r w:rsidR="00007E52" w:rsidRPr="00007E52">
        <w:rPr>
          <w:sz w:val="20"/>
          <w:szCs w:val="20"/>
        </w:rPr>
        <w:t xml:space="preserve">, </w:t>
      </w:r>
      <w:r w:rsidRPr="00007E52">
        <w:rPr>
          <w:sz w:val="20"/>
          <w:szCs w:val="20"/>
        </w:rPr>
        <w:t>Ա.Ա.Հ.)</w:t>
      </w:r>
    </w:p>
    <w:p w:rsidR="00BC626B" w:rsidRPr="000A0FCD" w:rsidRDefault="00BC626B" w:rsidP="00067B20">
      <w:pPr>
        <w:ind w:right="-6"/>
        <w:jc w:val="both"/>
      </w:pPr>
      <w:r w:rsidRPr="000A0FCD">
        <w:lastRenderedPageBreak/>
        <w:t>կատարվել է կարանտինային հսկողության վերցված արտադրանքի կարանտինային բուսասանիտարական հսկողություն (վերահսկողություն) _________________</w:t>
      </w:r>
      <w:r w:rsidR="00007E52" w:rsidRPr="00007E52">
        <w:t>____________</w:t>
      </w:r>
      <w:r w:rsidRPr="000A0FCD">
        <w:t>____________________________________________(5)</w:t>
      </w:r>
    </w:p>
    <w:p w:rsidR="00BC626B" w:rsidRPr="00007E52" w:rsidRDefault="00BC626B" w:rsidP="00067B20">
      <w:pPr>
        <w:ind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 xml:space="preserve">(կարանտինային հսկողության վերցված արտադրանքի անվանումը </w:t>
      </w:r>
      <w:r w:rsidR="00D30066">
        <w:rPr>
          <w:sz w:val="20"/>
          <w:szCs w:val="20"/>
        </w:rPr>
        <w:t>եւ</w:t>
      </w:r>
      <w:r w:rsidRPr="00007E52">
        <w:rPr>
          <w:sz w:val="20"/>
          <w:szCs w:val="20"/>
        </w:rPr>
        <w:t xml:space="preserve"> քանակը)</w:t>
      </w:r>
    </w:p>
    <w:p w:rsidR="00BC626B" w:rsidRPr="000A0FCD" w:rsidRDefault="00D30066" w:rsidP="00067B20">
      <w:pPr>
        <w:ind w:right="-6"/>
        <w:jc w:val="both"/>
      </w:pPr>
      <w:r>
        <w:t>եւ</w:t>
      </w:r>
      <w:r w:rsidR="00BC626B" w:rsidRPr="000A0FCD">
        <w:t xml:space="preserve"> տրանսպորտային միջոցների՝ __________________________________</w:t>
      </w:r>
      <w:r w:rsidR="00007E52" w:rsidRPr="00BF3A80">
        <w:t>_______________________</w:t>
      </w:r>
      <w:r w:rsidR="00BC626B" w:rsidRPr="000A0FCD">
        <w:t>________________(6)</w:t>
      </w:r>
    </w:p>
    <w:p w:rsidR="00BC626B" w:rsidRPr="00007E52" w:rsidRDefault="00BC626B" w:rsidP="00067B20">
      <w:pPr>
        <w:ind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>(տրանսպորտային միջոցների համարները),</w:t>
      </w:r>
    </w:p>
    <w:p w:rsidR="00BC626B" w:rsidRPr="000A0FCD" w:rsidRDefault="00BC626B" w:rsidP="00067B20">
      <w:pPr>
        <w:ind w:right="-6"/>
        <w:jc w:val="both"/>
      </w:pPr>
      <w:r w:rsidRPr="000A0FCD">
        <w:t>որոնք ստացվել են</w:t>
      </w:r>
      <w:r w:rsidR="00007E52">
        <w:t>____________</w:t>
      </w:r>
      <w:r w:rsidRPr="000A0FCD">
        <w:t>____________</w:t>
      </w:r>
      <w:r w:rsidR="00007E52">
        <w:t>_______________________________</w:t>
      </w:r>
      <w:r w:rsidR="00007E52" w:rsidRPr="00BF3A80">
        <w:t>_</w:t>
      </w:r>
      <w:r w:rsidRPr="000A0FCD">
        <w:t>(7)</w:t>
      </w:r>
    </w:p>
    <w:p w:rsidR="00BC626B" w:rsidRPr="00007E52" w:rsidRDefault="00BC626B" w:rsidP="00067B20">
      <w:pPr>
        <w:ind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>(երկրի անվանումը)</w:t>
      </w:r>
    </w:p>
    <w:p w:rsidR="00BC626B" w:rsidRPr="000A0FCD" w:rsidRDefault="00BC626B" w:rsidP="00067B20">
      <w:pPr>
        <w:ind w:right="-6"/>
        <w:jc w:val="both"/>
      </w:pPr>
      <w:r w:rsidRPr="000A0FCD">
        <w:t>ծագումով՝</w:t>
      </w:r>
      <w:r w:rsidR="00007E52" w:rsidRPr="00BF3A80">
        <w:t>_________</w:t>
      </w:r>
      <w:r w:rsidRPr="000A0FCD">
        <w:t>_______________________</w:t>
      </w:r>
      <w:r w:rsidR="00007E52">
        <w:t>_______________________________</w:t>
      </w:r>
      <w:r w:rsidRPr="000A0FCD">
        <w:t>(8)</w:t>
      </w:r>
    </w:p>
    <w:p w:rsidR="00BC626B" w:rsidRPr="00007E52" w:rsidRDefault="00BC626B" w:rsidP="00067B20">
      <w:pPr>
        <w:ind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>(երկրի անվանումը)</w:t>
      </w:r>
    </w:p>
    <w:p w:rsidR="00BC626B" w:rsidRPr="000A0FCD" w:rsidRDefault="00BC626B" w:rsidP="00067B20">
      <w:pPr>
        <w:ind w:right="-6"/>
        <w:jc w:val="both"/>
      </w:pPr>
      <w:r w:rsidRPr="000A0FCD">
        <w:t>Բուսասանիտարական հավաստագիր</w:t>
      </w:r>
      <w:r w:rsidR="00007E52">
        <w:t xml:space="preserve"> ______________________________________</w:t>
      </w:r>
      <w:r w:rsidRPr="000A0FCD">
        <w:t>(9)</w:t>
      </w:r>
    </w:p>
    <w:p w:rsidR="00BC626B" w:rsidRPr="00007E52" w:rsidRDefault="00BC626B" w:rsidP="00067B20">
      <w:pPr>
        <w:ind w:left="2127"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>(բուսասանիտարական հավաստագրի համարը, տրման ամսաթիվը)</w:t>
      </w:r>
    </w:p>
    <w:p w:rsidR="00BC626B" w:rsidRPr="000A0FCD" w:rsidRDefault="00BC626B" w:rsidP="00067B20">
      <w:pPr>
        <w:ind w:right="-6"/>
        <w:jc w:val="both"/>
      </w:pPr>
      <w:r w:rsidRPr="000A0FCD">
        <w:t>տրվել է _______________________________</w:t>
      </w:r>
      <w:r w:rsidR="00007E52">
        <w:t>_______________________________</w:t>
      </w:r>
      <w:r w:rsidR="00007E52" w:rsidRPr="00BF3A80">
        <w:t>__</w:t>
      </w:r>
      <w:r w:rsidRPr="000A0FCD">
        <w:t>(10)</w:t>
      </w:r>
    </w:p>
    <w:p w:rsidR="00BC626B" w:rsidRPr="00007E52" w:rsidRDefault="00BC626B" w:rsidP="00067B20">
      <w:pPr>
        <w:ind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>(երկրի անվանումը)</w:t>
      </w:r>
    </w:p>
    <w:p w:rsidR="00BC626B" w:rsidRPr="000A0FCD" w:rsidRDefault="00BC626B" w:rsidP="00067B20">
      <w:pPr>
        <w:ind w:right="-6"/>
        <w:jc w:val="both"/>
      </w:pPr>
      <w:r w:rsidRPr="000A0FCD">
        <w:t>Արտահանող (ուղարկող</w:t>
      </w:r>
      <w:r w:rsidR="00007E52">
        <w:t>) ____________</w:t>
      </w:r>
      <w:r w:rsidRPr="000A0FCD">
        <w:t>_____</w:t>
      </w:r>
      <w:r w:rsidR="00007E52">
        <w:t>_______________________________</w:t>
      </w:r>
      <w:r w:rsidRPr="000A0FCD">
        <w:t>(11)</w:t>
      </w:r>
    </w:p>
    <w:p w:rsidR="00BC626B" w:rsidRPr="00007E52" w:rsidRDefault="00BC626B" w:rsidP="00067B20">
      <w:pPr>
        <w:ind w:left="1701"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 xml:space="preserve">(կազմակերպության անվանումը </w:t>
      </w:r>
      <w:r w:rsidR="00D30066">
        <w:rPr>
          <w:sz w:val="20"/>
          <w:szCs w:val="20"/>
        </w:rPr>
        <w:t>եւ</w:t>
      </w:r>
      <w:r w:rsidRPr="00007E52">
        <w:rPr>
          <w:sz w:val="20"/>
          <w:szCs w:val="20"/>
        </w:rPr>
        <w:t xml:space="preserve"> հասցեն)</w:t>
      </w:r>
    </w:p>
    <w:p w:rsidR="00BC626B" w:rsidRPr="000A0FCD" w:rsidRDefault="00BC626B" w:rsidP="00067B20">
      <w:pPr>
        <w:ind w:right="-6"/>
        <w:jc w:val="both"/>
      </w:pPr>
      <w:r w:rsidRPr="000A0FCD">
        <w:t>Ներկրող (ստացող) ___________________</w:t>
      </w:r>
      <w:r w:rsidR="00007E52">
        <w:t>_______________________________</w:t>
      </w:r>
      <w:r w:rsidR="00007E52" w:rsidRPr="00BF3A80">
        <w:t>____</w:t>
      </w:r>
      <w:r w:rsidRPr="000A0FCD">
        <w:t>(12)</w:t>
      </w:r>
    </w:p>
    <w:p w:rsidR="00BC626B" w:rsidRPr="00007E52" w:rsidRDefault="00BC626B" w:rsidP="00067B20">
      <w:pPr>
        <w:ind w:left="1701"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 xml:space="preserve">(կազմակերպության անվանումը </w:t>
      </w:r>
      <w:r w:rsidR="00D30066">
        <w:rPr>
          <w:sz w:val="20"/>
          <w:szCs w:val="20"/>
        </w:rPr>
        <w:t>եւ</w:t>
      </w:r>
      <w:r w:rsidRPr="00007E52">
        <w:rPr>
          <w:sz w:val="20"/>
          <w:szCs w:val="20"/>
        </w:rPr>
        <w:t xml:space="preserve"> հասցեն)</w:t>
      </w:r>
    </w:p>
    <w:p w:rsidR="00BC626B" w:rsidRPr="000A0FCD" w:rsidRDefault="00BC626B" w:rsidP="00067B20">
      <w:pPr>
        <w:ind w:right="-6"/>
        <w:jc w:val="both"/>
      </w:pPr>
      <w:r w:rsidRPr="000A0FCD">
        <w:t xml:space="preserve">արդյունքում </w:t>
      </w:r>
      <w:r w:rsidR="00007E52" w:rsidRPr="00BF3A80">
        <w:t>____________________________________________________________</w:t>
      </w:r>
      <w:r w:rsidRPr="000A0FCD">
        <w:t>(13)</w:t>
      </w:r>
    </w:p>
    <w:p w:rsidR="00BC626B" w:rsidRPr="00007E52" w:rsidRDefault="00BC626B" w:rsidP="00067B20">
      <w:pPr>
        <w:ind w:left="567" w:right="-6"/>
        <w:jc w:val="center"/>
        <w:rPr>
          <w:sz w:val="20"/>
          <w:szCs w:val="20"/>
        </w:rPr>
      </w:pPr>
      <w:r w:rsidRPr="00007E52">
        <w:rPr>
          <w:sz w:val="20"/>
          <w:szCs w:val="20"/>
        </w:rPr>
        <w:t>(միջոցառման անվանումը)</w:t>
      </w:r>
    </w:p>
    <w:p w:rsidR="00BC626B" w:rsidRPr="000A0FCD" w:rsidRDefault="00BC626B" w:rsidP="000A0FCD">
      <w:pPr>
        <w:spacing w:after="160" w:line="360" w:lineRule="auto"/>
        <w:ind w:right="-8"/>
        <w:jc w:val="both"/>
      </w:pPr>
      <w:r w:rsidRPr="000A0FCD">
        <w:t>պարզվեց՝ ________________________</w:t>
      </w:r>
      <w:r w:rsidR="00007E52" w:rsidRPr="00007E52">
        <w:t>_____________</w:t>
      </w:r>
      <w:r w:rsidRPr="000A0FCD">
        <w:t>_________________________(14)</w:t>
      </w:r>
    </w:p>
    <w:p w:rsidR="00BC626B" w:rsidRPr="000A0FCD" w:rsidRDefault="00BC626B" w:rsidP="000A0FCD">
      <w:pPr>
        <w:spacing w:after="160" w:line="360" w:lineRule="auto"/>
        <w:ind w:right="-8"/>
        <w:jc w:val="both"/>
      </w:pPr>
      <w:r w:rsidRPr="000A0FCD">
        <w:t xml:space="preserve">Կարանտինային հսկողության վերցված արտադրանքի անալիզի կամ փորձաքննության համար ընտրվել են նմուշներ (փորձանմուշներ) քանակությամբ </w:t>
      </w:r>
      <w:r w:rsidR="00007E52" w:rsidRPr="00007E52">
        <w:t>________________________________________________________________________</w:t>
      </w:r>
      <w:r w:rsidRPr="000A0FCD">
        <w:t>(15)</w:t>
      </w:r>
    </w:p>
    <w:p w:rsidR="00BC626B" w:rsidRPr="000A0FCD" w:rsidRDefault="00BC626B" w:rsidP="000A0FCD">
      <w:pPr>
        <w:spacing w:after="160" w:line="360" w:lineRule="auto"/>
        <w:ind w:right="-8"/>
        <w:jc w:val="both"/>
      </w:pPr>
      <w:r w:rsidRPr="000A0FCD">
        <w:t>Գործողություններ նմուշների (փորձանմուշների) հետ</w:t>
      </w:r>
      <w:r w:rsidR="00007E52">
        <w:t xml:space="preserve"> ______________________</w:t>
      </w:r>
      <w:r w:rsidRPr="000A0FCD">
        <w:t>(16)</w:t>
      </w:r>
    </w:p>
    <w:p w:rsidR="00BC626B" w:rsidRPr="000A0FCD" w:rsidRDefault="00BC626B" w:rsidP="000A0FCD">
      <w:pPr>
        <w:spacing w:after="160" w:line="360" w:lineRule="auto"/>
        <w:ind w:right="-8"/>
        <w:jc w:val="both"/>
      </w:pPr>
      <w:r w:rsidRPr="000A0FCD">
        <w:t>Կարգադրվում են կարանտինային բուսասանիտարական հետ</w:t>
      </w:r>
      <w:r w:rsidR="00D30066">
        <w:t>եւ</w:t>
      </w:r>
      <w:r w:rsidRPr="000A0FCD">
        <w:t>յալ միջոցառումները</w:t>
      </w:r>
      <w:r w:rsidR="00007E52" w:rsidRPr="00007E52">
        <w:t>__________________________</w:t>
      </w:r>
      <w:r w:rsidR="00007E52">
        <w:t>______________________________</w:t>
      </w:r>
      <w:r w:rsidRPr="000A0FCD">
        <w:t>(17)</w:t>
      </w:r>
    </w:p>
    <w:p w:rsidR="00BC626B" w:rsidRPr="000A0FCD" w:rsidRDefault="00BC626B" w:rsidP="000A0FCD">
      <w:pPr>
        <w:spacing w:after="160" w:line="360" w:lineRule="auto"/>
        <w:ind w:right="-8"/>
        <w:jc w:val="both"/>
      </w:pPr>
      <w:r w:rsidRPr="000A0FCD">
        <w:t>Ակտը կազմվել է բեռի սեփականատիրոջ</w:t>
      </w:r>
    </w:p>
    <w:p w:rsidR="00007E52" w:rsidRPr="00BF3A80" w:rsidRDefault="00BC626B" w:rsidP="000A0FCD">
      <w:pPr>
        <w:spacing w:after="160" w:line="360" w:lineRule="auto"/>
        <w:ind w:right="-8"/>
        <w:jc w:val="both"/>
      </w:pPr>
      <w:r w:rsidRPr="000A0FCD">
        <w:t>(սեփականատիրոջ ներկայացուցչի) ներկայությամբ</w:t>
      </w:r>
    </w:p>
    <w:p w:rsidR="00BC626B" w:rsidRPr="000A0FCD" w:rsidRDefault="00BC626B" w:rsidP="00067B20">
      <w:pPr>
        <w:ind w:right="-6"/>
        <w:jc w:val="both"/>
      </w:pPr>
      <w:r w:rsidRPr="000A0FCD">
        <w:t>____</w:t>
      </w:r>
      <w:r w:rsidR="00067B20" w:rsidRPr="00D30066">
        <w:t>_________________</w:t>
      </w:r>
      <w:r w:rsidRPr="000A0FCD">
        <w:t>_</w:t>
      </w:r>
      <w:r w:rsidR="00007E52">
        <w:t>________ ________________</w:t>
      </w:r>
      <w:r w:rsidR="00067B20" w:rsidRPr="00D30066">
        <w:t>___________________</w:t>
      </w:r>
      <w:r w:rsidR="00007E52">
        <w:t>______</w:t>
      </w:r>
      <w:r w:rsidRPr="000A0FCD">
        <w:t>(18)</w:t>
      </w:r>
    </w:p>
    <w:p w:rsidR="00BC626B" w:rsidRPr="00007E52" w:rsidRDefault="00BC626B" w:rsidP="00067B20">
      <w:pPr>
        <w:ind w:right="-6"/>
        <w:jc w:val="both"/>
        <w:rPr>
          <w:sz w:val="20"/>
          <w:szCs w:val="20"/>
        </w:rPr>
      </w:pPr>
      <w:r w:rsidRPr="00007E52">
        <w:rPr>
          <w:sz w:val="20"/>
          <w:szCs w:val="20"/>
        </w:rPr>
        <w:t>(ստորագրություն) (Ա.Ա.Հ.)</w:t>
      </w:r>
    </w:p>
    <w:p w:rsidR="00067B20" w:rsidRPr="00D30066" w:rsidRDefault="00BC626B" w:rsidP="00067B20">
      <w:pPr>
        <w:ind w:right="-6"/>
        <w:jc w:val="both"/>
      </w:pPr>
      <w:r w:rsidRPr="000A0FCD">
        <w:t>Լիազորված պաշտոնատար անձ</w:t>
      </w:r>
    </w:p>
    <w:p w:rsidR="00BC626B" w:rsidRPr="000A0FCD" w:rsidRDefault="00BC626B" w:rsidP="00067B20">
      <w:pPr>
        <w:ind w:right="-6"/>
        <w:jc w:val="both"/>
      </w:pPr>
      <w:r w:rsidRPr="000A0FCD">
        <w:t>___________</w:t>
      </w:r>
      <w:r w:rsidR="00067B20" w:rsidRPr="00D30066">
        <w:t>______________</w:t>
      </w:r>
      <w:r w:rsidRPr="000A0FCD">
        <w:t>_____ _________</w:t>
      </w:r>
      <w:r w:rsidR="00067B20" w:rsidRPr="00D30066">
        <w:t>___________________</w:t>
      </w:r>
      <w:r w:rsidR="00067B20">
        <w:t>_____________</w:t>
      </w:r>
      <w:r w:rsidRPr="000A0FCD">
        <w:t>(19)</w:t>
      </w:r>
    </w:p>
    <w:p w:rsidR="00137BC2" w:rsidRPr="00007E52" w:rsidRDefault="001F7297" w:rsidP="00067B20">
      <w:pPr>
        <w:pStyle w:val="Bodytext20"/>
        <w:shd w:val="clear" w:color="auto" w:fill="auto"/>
        <w:spacing w:after="0" w:line="240" w:lineRule="auto"/>
        <w:ind w:right="-6"/>
        <w:jc w:val="both"/>
        <w:rPr>
          <w:rFonts w:ascii="Sylfaen" w:hAnsi="Sylfaen"/>
          <w:sz w:val="20"/>
          <w:szCs w:val="20"/>
        </w:rPr>
      </w:pPr>
      <w:r w:rsidRPr="00007E52">
        <w:rPr>
          <w:rFonts w:ascii="Sylfaen" w:hAnsi="Sylfaen"/>
          <w:sz w:val="20"/>
          <w:szCs w:val="20"/>
        </w:rPr>
        <w:t xml:space="preserve">(ստորագրություն) </w:t>
      </w:r>
      <w:r w:rsidRPr="00007E52">
        <w:rPr>
          <w:rFonts w:ascii="Sylfaen" w:hAnsi="Sylfaen"/>
          <w:sz w:val="20"/>
          <w:szCs w:val="20"/>
        </w:rPr>
        <w:tab/>
        <w:t>(Ա.Ա.Հ.)</w:t>
      </w:r>
    </w:p>
    <w:p w:rsidR="00007E52" w:rsidRPr="00BF3A80" w:rsidRDefault="00007E52" w:rsidP="000A0FCD">
      <w:pPr>
        <w:pStyle w:val="Bodytext40"/>
        <w:shd w:val="clear" w:color="auto" w:fill="auto"/>
        <w:spacing w:after="160" w:line="360" w:lineRule="auto"/>
        <w:ind w:right="-8"/>
        <w:jc w:val="both"/>
        <w:rPr>
          <w:rFonts w:ascii="Sylfaen" w:hAnsi="Sylfaen"/>
          <w:sz w:val="24"/>
          <w:szCs w:val="24"/>
        </w:rPr>
      </w:pPr>
    </w:p>
    <w:p w:rsidR="00067B20" w:rsidRPr="00D30066" w:rsidRDefault="00067B20" w:rsidP="000A0FCD">
      <w:pPr>
        <w:pStyle w:val="Bodytext40"/>
        <w:shd w:val="clear" w:color="auto" w:fill="auto"/>
        <w:spacing w:after="160" w:line="360" w:lineRule="auto"/>
        <w:ind w:right="-8"/>
        <w:jc w:val="both"/>
        <w:rPr>
          <w:rFonts w:ascii="Sylfaen" w:hAnsi="Sylfaen"/>
          <w:sz w:val="22"/>
          <w:szCs w:val="22"/>
        </w:rPr>
      </w:pPr>
    </w:p>
    <w:p w:rsidR="00137BC2" w:rsidRPr="00007E52" w:rsidRDefault="001F7297" w:rsidP="000A0FCD">
      <w:pPr>
        <w:pStyle w:val="Bodytext40"/>
        <w:shd w:val="clear" w:color="auto" w:fill="auto"/>
        <w:spacing w:after="160" w:line="360" w:lineRule="auto"/>
        <w:ind w:right="-8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lastRenderedPageBreak/>
        <w:t>Կ. Տ.</w:t>
      </w:r>
    </w:p>
    <w:p w:rsidR="00137BC2" w:rsidRPr="00007E52" w:rsidRDefault="001F7297" w:rsidP="000A0FCD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Ծանոթագրություններ.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1.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5-րդ դաշտում նշվում է Եվրասիական տնտեսական միության մաքսային սահմանին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Եվրասիական տնտեսական միության մաքսային տարածքում կարանտինային բուսասանիտարական հսկողության (վերահսկողության) ենթակա՝ կարանտինային հսկողության վերցված արտադրանքի անվանումը՝ Հսկողության վերցված արտադրանքի (հսկողության վերցված բեռների, նյութերի, ապրանքների) ցանկին համապատասխան, որը հաստատվել է Մաքսային միության հանձնաժողովի 2010</w:t>
      </w:r>
      <w:r w:rsidR="00007E52" w:rsidRPr="00007E52">
        <w:rPr>
          <w:rFonts w:ascii="Sylfaen" w:hAnsi="Sylfaen"/>
          <w:sz w:val="22"/>
          <w:szCs w:val="22"/>
        </w:rPr>
        <w:t> </w:t>
      </w:r>
      <w:r w:rsidRPr="00007E52">
        <w:rPr>
          <w:rFonts w:ascii="Sylfaen" w:hAnsi="Sylfaen"/>
          <w:sz w:val="22"/>
          <w:szCs w:val="22"/>
        </w:rPr>
        <w:t xml:space="preserve">թվականի հունիսի 18-ի թիվ 318 որոշմամբ,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կարանտինային հսկողության վերցված արտադրանքի քանակը՝ չափումների մետրիկ համակարգով: Այս դաշտում կարող է նշվել կարանտինային հսկողության վերցված արտադրանքի բուսաբանական անվանումը, ինչպես նա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արտադրանքի ծածկագիրը՝ ԵԱՏՄ ԱՏԳ ԱԱ-ին համապատասխան: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2.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6-րդ դաշտում նշվում են </w:t>
      </w:r>
      <w:r w:rsidR="00B82AFC" w:rsidRPr="00007E52">
        <w:rPr>
          <w:rFonts w:ascii="Sylfaen" w:hAnsi="Sylfaen"/>
          <w:sz w:val="22"/>
          <w:szCs w:val="22"/>
        </w:rPr>
        <w:t>գլխային տրանսպորտային</w:t>
      </w:r>
      <w:r w:rsidRPr="00007E52">
        <w:rPr>
          <w:rFonts w:ascii="Sylfaen" w:hAnsi="Sylfaen"/>
          <w:sz w:val="22"/>
          <w:szCs w:val="22"/>
        </w:rPr>
        <w:t xml:space="preserve"> միջոցի (քարշակի)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կցորդի (առկայության դեպքում) գրանցման համարները, վագոնի համարը, բեռնարկղի համարը, չվերթի համարը՝ ավիափոխադրումների դեպքում,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նավի անվանումը: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3.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8-րդ դաշտում նշվում է կարանտինային հսկողության վերցված արտադրանքի ծագման երկրի անվանումը, որը նշված է բուսասանիտարական հավաստագրում (առկայության դեպքում):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4.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9-րդ դաշտում նշվում են բուսասանիտարական հավաստագրի համարը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Եվրասիական տնտեսական միության անդամ պետության լիազորված մարմնի կողմից դրա տրման ամսաթիվը: Բուսասանիտարական հավաստագրի բացակայության դեպքում այս դաշտում արվում է «բացակայում է» նշումը կամ դրվում է գիծ։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5.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10-րդ դաշտում նշվում է Եվրասիական տնտեսական միության այն անդամ պետության անվանումը, որի լիազորված մարմինը տրամադրել է բուսասանիտարական հավաստագիրը: Բուսասանիտարական հավաստագրի բացակայության դեպքում այս դաշտում արվում է «բացակայում է» նշումը կամ դրվում է գիծ։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276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6.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11-րդ դաշտում նշվում են ուղարկող կազմակերպության անվանումը (այդ թվում՝ կազմակերպաիրավական ձ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ը)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այդ կազմակերպության հասցեն, որոնք նշված են բուսասանիտարական հավաստագրում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ապրանքներն ուղեկցող փաստաթղթերում: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lastRenderedPageBreak/>
        <w:t>7.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12-րդ դաշտում նշվում են ստացող կազմակերպության անվանումը (այդ թվում՝ կազմակերպաիրավական ձ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ը)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այդ կազմակերպության հասցեն, որոնք նշված են բուսասանիտարական հավաստագրում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ապրանքներն ուղեկցող փաստաթղթերում: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8.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13-րդ դաշտում նշվում են Եվրասիական տնտեսական միության անդամ պետության լիազորված մարմնի լիազորված պաշտոնատար անձի կողմից անցկացված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</w:t>
      </w:r>
      <w:r w:rsidRPr="00007E52">
        <w:rPr>
          <w:rFonts w:ascii="Sylfaen" w:hAnsi="Sylfaen"/>
          <w:spacing w:val="-6"/>
          <w:sz w:val="22"/>
          <w:szCs w:val="22"/>
        </w:rPr>
        <w:t xml:space="preserve">Եվրասիական տնտեսական միության իրավունքի մաս կազմող ակտերով </w:t>
      </w:r>
      <w:r w:rsidR="00D30066">
        <w:rPr>
          <w:rFonts w:ascii="Sylfaen" w:hAnsi="Sylfaen"/>
          <w:spacing w:val="-6"/>
          <w:sz w:val="22"/>
          <w:szCs w:val="22"/>
        </w:rPr>
        <w:t>եւ</w:t>
      </w:r>
      <w:r w:rsidRPr="00007E52">
        <w:rPr>
          <w:rFonts w:ascii="Sylfaen" w:hAnsi="Sylfaen"/>
          <w:spacing w:val="-6"/>
          <w:sz w:val="22"/>
          <w:szCs w:val="22"/>
        </w:rPr>
        <w:t xml:space="preserve"> այդ պետության օրենսդրությամբ նախատեսված միջոցառումները (փաստաթղթային ստուգում, կարանտինային հսկողության վերցված</w:t>
      </w:r>
      <w:r w:rsidRPr="00007E52">
        <w:rPr>
          <w:rFonts w:ascii="Sylfaen" w:hAnsi="Sylfaen"/>
          <w:sz w:val="22"/>
          <w:szCs w:val="22"/>
        </w:rPr>
        <w:t xml:space="preserve"> արտադրանքի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տրանսպորտային միջոցների զննում, կարանտինային հսկողության վերցված արտադրանքի ստուգազննում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այլն):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9.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14-րդ դաշտում նշվում է Եվրասիական տնտեսական միության իրավունքի մաս կազմող ակտերի հիմնադրույթները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Եվրասիական տնտեսական միության անդամ պետությունների օրենսդրության խախտումները հայտնաբերելու (չհայտնաբերելու) վերաբերյալ, ինչպես նա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կարանտինային օբյեկտներով կարանտինային հսկողության վերցված արտադրանքի վարակվածության նշանների վերաբերյալ տեղեկատվությունը, որն ստացվել է 13-րդ դաշտում նշված միջոցառումներն անցկացնելու արդյունքում: 14-րդ դաշտում պետք է նշել հայտնաբերված խախտման մասին մանրամասն տեղեկատվությունը՝ հղում կատարելով այն նորմին, որը խախտվել էր (ակտի անվանումը, հոդվածը, կետը, պարբերությունը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այլն): Կարանտինային օբյեկտներին մորֆոլոգիական հատկանիշներով նման օրգանիզմներ, բույսերի հիվանդությունների հարուցիչների առկայության նշաններ, մոլախոտային բույսերի սերմերի առկայություն հայտնաբերելու դեպքում՝ համապատասխան տեղեկությունը նշվում է 14-րդ դաշտում: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10.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 xml:space="preserve">15-րդ դաշտում նշվում է կարանտինային հսկողության վերցված արտադրանքի ընտրված նմուշների (փորձանմուշների) քանակը՝ չափման համապատասխան միավորներով (հատ, կգ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այլն), ինչպես նա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>՝ ընտրված նմուշների (փորձանմուշների) պիտակների համարները (առկայության դեպքում):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11.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16-րդ դաշտում նշվում է նմուշների (փորձանմուշների) հետ գործողությունների վերաբերյալ տեղեկատվությունը (ընտրված նմուշների (փորձանմուշների) ուղարկումը կարանտինային բուսասանիտարական լաբորատորիա կամ փորձագիտական կազմակերպություն (նշելով դրանց անվանումը)) կամ նշում է արվում՝ «անալիզը կատարվել է տեղում» կամ «նմուշը չի ընտրվել»: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lastRenderedPageBreak/>
        <w:t>12.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17-րդ դաշտում նշվում է հսկողության վերցված արտադրանքի նկատմամբ միջոցառումների անցկացման արդյունքում ընդունված որոշման վերաբերյալ տեղեկատվությունը:</w:t>
      </w:r>
    </w:p>
    <w:p w:rsidR="00137BC2" w:rsidRPr="00007E52" w:rsidRDefault="007739E0" w:rsidP="00007E52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2"/>
          <w:szCs w:val="22"/>
        </w:rPr>
      </w:pPr>
      <w:r w:rsidRPr="00007E52">
        <w:rPr>
          <w:rFonts w:ascii="Sylfaen" w:hAnsi="Sylfaen"/>
          <w:sz w:val="22"/>
          <w:szCs w:val="22"/>
        </w:rPr>
        <w:t>13.</w:t>
      </w:r>
      <w:r w:rsidR="00007E52" w:rsidRPr="00007E52">
        <w:rPr>
          <w:rFonts w:ascii="Sylfaen" w:hAnsi="Sylfaen"/>
          <w:sz w:val="22"/>
          <w:szCs w:val="22"/>
        </w:rPr>
        <w:tab/>
      </w:r>
      <w:r w:rsidRPr="00007E52">
        <w:rPr>
          <w:rFonts w:ascii="Sylfaen" w:hAnsi="Sylfaen"/>
          <w:sz w:val="22"/>
          <w:szCs w:val="22"/>
        </w:rPr>
        <w:t>Կարանտինային բուսասանիտարական հսկողության (վերահսկողության) ակտերի ձ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ակերպված բնօրինակներում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պատճեններում դաշտերի համարակալումը </w:t>
      </w:r>
      <w:r w:rsidR="00D30066">
        <w:rPr>
          <w:rFonts w:ascii="Sylfaen" w:hAnsi="Sylfaen"/>
          <w:sz w:val="22"/>
          <w:szCs w:val="22"/>
        </w:rPr>
        <w:t>եւ</w:t>
      </w:r>
      <w:r w:rsidRPr="00007E52">
        <w:rPr>
          <w:rFonts w:ascii="Sylfaen" w:hAnsi="Sylfaen"/>
          <w:sz w:val="22"/>
          <w:szCs w:val="22"/>
        </w:rPr>
        <w:t xml:space="preserve"> ծանոթագրությունները չեն նշվում:</w:t>
      </w:r>
    </w:p>
    <w:p w:rsidR="00327494" w:rsidRPr="000A0FCD" w:rsidRDefault="00327494" w:rsidP="000A0FCD">
      <w:pPr>
        <w:pStyle w:val="Headingnumber50"/>
        <w:shd w:val="clear" w:color="auto" w:fill="auto"/>
        <w:spacing w:before="0" w:after="160" w:line="360" w:lineRule="auto"/>
        <w:ind w:right="-8"/>
        <w:jc w:val="both"/>
        <w:rPr>
          <w:rFonts w:ascii="Sylfaen" w:hAnsi="Sylfaen"/>
          <w:sz w:val="24"/>
          <w:szCs w:val="24"/>
        </w:rPr>
      </w:pPr>
    </w:p>
    <w:p w:rsidR="00137BC2" w:rsidRPr="000A0FCD" w:rsidRDefault="001F7297" w:rsidP="00007E52">
      <w:pPr>
        <w:pStyle w:val="Headingnumber50"/>
        <w:shd w:val="clear" w:color="auto" w:fill="auto"/>
        <w:spacing w:before="0" w:after="160" w:line="360" w:lineRule="auto"/>
        <w:ind w:left="4253" w:right="-8"/>
        <w:jc w:val="center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>Հավելված</w:t>
      </w:r>
    </w:p>
    <w:p w:rsidR="00327494" w:rsidRPr="000A0FCD" w:rsidRDefault="001F7297" w:rsidP="00007E52">
      <w:pPr>
        <w:pStyle w:val="Heading50"/>
        <w:shd w:val="clear" w:color="auto" w:fill="auto"/>
        <w:spacing w:before="0" w:after="160" w:line="360" w:lineRule="auto"/>
        <w:ind w:left="4253" w:right="-6"/>
        <w:jc w:val="center"/>
        <w:outlineLvl w:val="9"/>
        <w:rPr>
          <w:rFonts w:ascii="Sylfaen" w:hAnsi="Sylfaen"/>
          <w:sz w:val="24"/>
          <w:szCs w:val="24"/>
        </w:rPr>
      </w:pPr>
      <w:bookmarkStart w:id="4" w:name="bookmark5"/>
      <w:r w:rsidRPr="000A0FCD">
        <w:rPr>
          <w:rFonts w:ascii="Sylfaen" w:hAnsi="Sylfaen"/>
          <w:sz w:val="24"/>
          <w:szCs w:val="24"/>
        </w:rPr>
        <w:t>կարանտինային բուսասանիտարական հսկողության (վերահսկողության) ակտի</w:t>
      </w:r>
    </w:p>
    <w:p w:rsidR="00137BC2" w:rsidRPr="000A0FCD" w:rsidRDefault="001F7297" w:rsidP="00007E52">
      <w:pPr>
        <w:pStyle w:val="Heading50"/>
        <w:shd w:val="clear" w:color="auto" w:fill="auto"/>
        <w:spacing w:before="0" w:after="160" w:line="360" w:lineRule="auto"/>
        <w:ind w:left="4253" w:right="-6"/>
        <w:jc w:val="center"/>
        <w:outlineLvl w:val="9"/>
        <w:rPr>
          <w:rFonts w:ascii="Sylfaen" w:hAnsi="Sylfaen"/>
          <w:sz w:val="24"/>
          <w:szCs w:val="24"/>
        </w:rPr>
      </w:pPr>
      <w:r w:rsidRPr="000A0FCD">
        <w:rPr>
          <w:rFonts w:ascii="Sylfaen" w:hAnsi="Sylfaen"/>
          <w:sz w:val="24"/>
          <w:szCs w:val="24"/>
        </w:rPr>
        <w:t xml:space="preserve">__________-ի </w:t>
      </w:r>
      <w:bookmarkEnd w:id="4"/>
      <w:r w:rsidR="003D417F" w:rsidRPr="000A0FCD">
        <w:rPr>
          <w:rFonts w:ascii="Sylfaen" w:hAnsi="Sylfaen"/>
          <w:sz w:val="24"/>
          <w:szCs w:val="24"/>
        </w:rPr>
        <w:t xml:space="preserve">թիվ </w:t>
      </w:r>
      <w:r w:rsidRPr="000A0FCD">
        <w:rPr>
          <w:rFonts w:ascii="Sylfaen" w:hAnsi="Sylfaen"/>
          <w:sz w:val="24"/>
          <w:szCs w:val="24"/>
        </w:rPr>
        <w:t>_____________</w:t>
      </w:r>
    </w:p>
    <w:p w:rsidR="00327494" w:rsidRPr="000A0FCD" w:rsidRDefault="00327494" w:rsidP="00332151">
      <w:pPr>
        <w:pStyle w:val="Heading50"/>
        <w:shd w:val="clear" w:color="auto" w:fill="auto"/>
        <w:spacing w:before="0" w:after="120" w:line="240" w:lineRule="auto"/>
        <w:ind w:left="4248"/>
        <w:jc w:val="both"/>
        <w:outlineLvl w:val="9"/>
        <w:rPr>
          <w:rFonts w:ascii="Sylfaen" w:hAnsi="Sylfaen"/>
          <w:sz w:val="24"/>
          <w:szCs w:val="24"/>
        </w:rPr>
      </w:pPr>
    </w:p>
    <w:tbl>
      <w:tblPr>
        <w:tblOverlap w:val="never"/>
        <w:tblW w:w="10271" w:type="dxa"/>
        <w:jc w:val="center"/>
        <w:tblInd w:w="-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1"/>
        <w:gridCol w:w="1694"/>
        <w:gridCol w:w="1827"/>
        <w:gridCol w:w="2158"/>
        <w:gridCol w:w="947"/>
        <w:gridCol w:w="994"/>
        <w:gridCol w:w="1770"/>
      </w:tblGrid>
      <w:tr w:rsidR="00184D59" w:rsidRPr="00007E52" w:rsidTr="00007E52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153" w:rsidRPr="00007E52" w:rsidRDefault="003D417F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Թիվ</w:t>
            </w:r>
            <w:r w:rsidR="001F7297" w:rsidRPr="00007E52">
              <w:rPr>
                <w:rFonts w:ascii="Sylfaen" w:hAnsi="Sylfaen"/>
                <w:sz w:val="22"/>
                <w:szCs w:val="22"/>
              </w:rPr>
              <w:t>ը/կ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327494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Կարանտինային հսկողության վերցված արտադրանքի անվանումը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Բուսասանիտարական սերտիֆիկատի համարը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D59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Կարանտինային հսկողության վերցված արտադրանքի քանակը</w:t>
            </w:r>
          </w:p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(չափման համապատասխան միավորներով)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Ընտրված միջին նմուշը (փորձանմուշը)</w:t>
            </w:r>
          </w:p>
        </w:tc>
      </w:tr>
      <w:tr w:rsidR="00184D59" w:rsidRPr="00007E52" w:rsidTr="00007E52">
        <w:trPr>
          <w:jc w:val="center"/>
        </w:trPr>
        <w:tc>
          <w:tcPr>
            <w:tcW w:w="8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քանակը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չափ. միավ.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F7297" w:rsidP="00007E52">
            <w:pPr>
              <w:pStyle w:val="Bodytext20"/>
              <w:shd w:val="clear" w:color="auto" w:fill="auto"/>
              <w:spacing w:after="160" w:line="240" w:lineRule="auto"/>
              <w:ind w:right="-6"/>
              <w:jc w:val="center"/>
              <w:rPr>
                <w:rFonts w:ascii="Sylfaen" w:hAnsi="Sylfaen"/>
                <w:sz w:val="22"/>
                <w:szCs w:val="22"/>
              </w:rPr>
            </w:pPr>
            <w:r w:rsidRPr="00007E52">
              <w:rPr>
                <w:rFonts w:ascii="Sylfaen" w:hAnsi="Sylfaen"/>
                <w:sz w:val="22"/>
                <w:szCs w:val="22"/>
              </w:rPr>
              <w:t>գործողություն նմուշի (փորձանմուշի) հետ</w:t>
            </w:r>
          </w:p>
        </w:tc>
      </w:tr>
      <w:tr w:rsidR="00184D59" w:rsidRPr="00007E52" w:rsidTr="00007E52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184D59" w:rsidRPr="00007E52" w:rsidTr="00007E52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184D59" w:rsidRPr="00007E52" w:rsidTr="00007E52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184D59" w:rsidRPr="00007E52" w:rsidTr="00007E52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184D59" w:rsidRPr="00007E52" w:rsidTr="00007E52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BC2" w:rsidRPr="00007E52" w:rsidRDefault="00137BC2" w:rsidP="00007E52">
            <w:pPr>
              <w:spacing w:after="16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:rsidR="00007E52" w:rsidRDefault="00007E52" w:rsidP="00007E52">
      <w:pPr>
        <w:pStyle w:val="Heading50"/>
        <w:shd w:val="clear" w:color="auto" w:fill="auto"/>
        <w:spacing w:before="0" w:after="160" w:line="240" w:lineRule="auto"/>
        <w:ind w:right="-6"/>
        <w:jc w:val="both"/>
        <w:outlineLvl w:val="9"/>
        <w:rPr>
          <w:rFonts w:ascii="Sylfaen" w:hAnsi="Sylfaen"/>
          <w:sz w:val="24"/>
          <w:szCs w:val="24"/>
          <w:lang w:val="en-US"/>
        </w:rPr>
      </w:pPr>
      <w:bookmarkStart w:id="5" w:name="bookmark6"/>
    </w:p>
    <w:p w:rsidR="00137BC2" w:rsidRPr="00007E52" w:rsidRDefault="001F7297" w:rsidP="00067B20">
      <w:pPr>
        <w:pStyle w:val="Heading50"/>
        <w:shd w:val="clear" w:color="auto" w:fill="auto"/>
        <w:spacing w:before="0" w:line="240" w:lineRule="auto"/>
        <w:ind w:right="-6"/>
        <w:jc w:val="both"/>
        <w:outlineLvl w:val="9"/>
        <w:rPr>
          <w:rFonts w:ascii="Sylfaen" w:hAnsi="Sylfaen"/>
          <w:sz w:val="20"/>
          <w:szCs w:val="20"/>
        </w:rPr>
      </w:pPr>
      <w:r w:rsidRPr="000A0FCD">
        <w:rPr>
          <w:rFonts w:ascii="Sylfaen" w:hAnsi="Sylfaen"/>
          <w:sz w:val="24"/>
          <w:szCs w:val="24"/>
        </w:rPr>
        <w:t>Լիազորված պաշտոնատար անձ</w:t>
      </w:r>
      <w:r w:rsidRPr="00007E52">
        <w:rPr>
          <w:rFonts w:ascii="Sylfaen" w:hAnsi="Sylfaen"/>
          <w:sz w:val="24"/>
          <w:szCs w:val="24"/>
        </w:rPr>
        <w:t>____________</w:t>
      </w:r>
      <w:r w:rsidR="00007E52" w:rsidRPr="00007E52">
        <w:rPr>
          <w:rFonts w:ascii="Sylfaen" w:hAnsi="Sylfaen"/>
          <w:sz w:val="24"/>
          <w:szCs w:val="24"/>
          <w:lang w:val="en-US"/>
        </w:rPr>
        <w:t>___</w:t>
      </w:r>
      <w:r w:rsidRPr="00007E52">
        <w:rPr>
          <w:rFonts w:ascii="Sylfaen" w:hAnsi="Sylfaen"/>
          <w:sz w:val="24"/>
          <w:szCs w:val="24"/>
        </w:rPr>
        <w:t>___</w:t>
      </w:r>
      <w:bookmarkEnd w:id="5"/>
      <w:r w:rsidR="00007E52" w:rsidRPr="00007E52">
        <w:rPr>
          <w:rFonts w:ascii="Sylfaen" w:hAnsi="Sylfaen"/>
          <w:sz w:val="24"/>
          <w:szCs w:val="24"/>
          <w:lang w:val="en-US"/>
        </w:rPr>
        <w:t xml:space="preserve"> </w:t>
      </w:r>
      <w:r w:rsidRPr="00007E52">
        <w:rPr>
          <w:rFonts w:ascii="Sylfaen" w:hAnsi="Sylfaen"/>
          <w:sz w:val="24"/>
          <w:szCs w:val="24"/>
        </w:rPr>
        <w:t>___________________________</w:t>
      </w:r>
    </w:p>
    <w:p w:rsidR="00137BC2" w:rsidRDefault="00184D59" w:rsidP="00067B20">
      <w:pPr>
        <w:pStyle w:val="Bodytext20"/>
        <w:shd w:val="clear" w:color="auto" w:fill="auto"/>
        <w:spacing w:after="0" w:line="240" w:lineRule="auto"/>
        <w:ind w:left="2835" w:right="-8"/>
        <w:jc w:val="center"/>
        <w:rPr>
          <w:rStyle w:val="Bodytext2SmallCaps"/>
          <w:rFonts w:ascii="Sylfaen" w:hAnsi="Sylfaen"/>
          <w:sz w:val="20"/>
          <w:szCs w:val="20"/>
        </w:rPr>
      </w:pPr>
      <w:r w:rsidRPr="00007E52">
        <w:rPr>
          <w:rStyle w:val="Bodytext2SmallCaps"/>
          <w:rFonts w:ascii="Sylfaen" w:hAnsi="Sylfaen"/>
          <w:sz w:val="20"/>
          <w:szCs w:val="20"/>
        </w:rPr>
        <w:t xml:space="preserve">(ստորագրություն) </w:t>
      </w:r>
      <w:r w:rsidRPr="00007E52">
        <w:rPr>
          <w:rFonts w:ascii="Sylfaen" w:hAnsi="Sylfaen"/>
          <w:sz w:val="20"/>
          <w:szCs w:val="20"/>
        </w:rPr>
        <w:tab/>
      </w:r>
      <w:r w:rsidRPr="00007E52">
        <w:rPr>
          <w:rStyle w:val="Bodytext2SmallCaps"/>
          <w:rFonts w:ascii="Sylfaen" w:hAnsi="Sylfaen"/>
          <w:sz w:val="20"/>
          <w:szCs w:val="20"/>
        </w:rPr>
        <w:t>(ա.ա.հ.)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636"/>
      </w:tblGrid>
      <w:tr w:rsidR="001D6534" w:rsidTr="001D6534">
        <w:tc>
          <w:tcPr>
            <w:tcW w:w="4252" w:type="dxa"/>
          </w:tcPr>
          <w:p w:rsidR="001D6534" w:rsidRPr="002804BE" w:rsidRDefault="002804BE" w:rsidP="002804BE">
            <w:pPr>
              <w:pStyle w:val="Heading50"/>
              <w:shd w:val="clear" w:color="auto" w:fill="auto"/>
              <w:tabs>
                <w:tab w:val="center" w:pos="4535"/>
              </w:tabs>
              <w:spacing w:before="0" w:after="160" w:line="360" w:lineRule="auto"/>
              <w:ind w:right="-6"/>
              <w:jc w:val="both"/>
              <w:outlineLvl w:val="9"/>
              <w:rPr>
                <w:rFonts w:ascii="Sylfaen" w:hAnsi="Sylfaen"/>
                <w:sz w:val="24"/>
                <w:szCs w:val="24"/>
                <w:lang w:val="en-US"/>
              </w:rPr>
            </w:pPr>
            <w:bookmarkStart w:id="6" w:name="bookmark7"/>
            <w:r w:rsidRPr="000A0FCD">
              <w:rPr>
                <w:rFonts w:ascii="Sylfaen" w:hAnsi="Sylfaen"/>
                <w:sz w:val="24"/>
                <w:szCs w:val="24"/>
              </w:rPr>
              <w:t>Կ. Տ.»:</w:t>
            </w:r>
            <w:bookmarkEnd w:id="6"/>
          </w:p>
        </w:tc>
        <w:tc>
          <w:tcPr>
            <w:tcW w:w="4636" w:type="dxa"/>
          </w:tcPr>
          <w:p w:rsidR="002804BE" w:rsidRDefault="002804BE" w:rsidP="00067B20">
            <w:pPr>
              <w:pStyle w:val="Bodytext20"/>
              <w:shd w:val="clear" w:color="auto" w:fill="auto"/>
              <w:spacing w:after="0" w:line="240" w:lineRule="auto"/>
              <w:ind w:right="-8"/>
              <w:jc w:val="center"/>
              <w:rPr>
                <w:rFonts w:ascii="Sylfaen" w:hAnsi="Sylfaen"/>
              </w:rPr>
            </w:pPr>
          </w:p>
          <w:p w:rsidR="002804BE" w:rsidRDefault="002804BE" w:rsidP="00067B20">
            <w:pPr>
              <w:pStyle w:val="Bodytext20"/>
              <w:shd w:val="clear" w:color="auto" w:fill="auto"/>
              <w:spacing w:after="0" w:line="240" w:lineRule="auto"/>
              <w:ind w:right="-8"/>
              <w:jc w:val="center"/>
              <w:rPr>
                <w:rFonts w:ascii="Sylfaen" w:hAnsi="Sylfaen"/>
              </w:rPr>
            </w:pPr>
          </w:p>
          <w:p w:rsidR="002804BE" w:rsidRDefault="002804BE" w:rsidP="00067B20">
            <w:pPr>
              <w:pStyle w:val="Bodytext20"/>
              <w:shd w:val="clear" w:color="auto" w:fill="auto"/>
              <w:spacing w:after="0" w:line="240" w:lineRule="auto"/>
              <w:ind w:right="-8"/>
              <w:jc w:val="center"/>
              <w:rPr>
                <w:rFonts w:ascii="Sylfaen" w:hAnsi="Sylfaen"/>
              </w:rPr>
            </w:pPr>
          </w:p>
          <w:p w:rsidR="001D6534" w:rsidRDefault="002804BE" w:rsidP="00067B20">
            <w:pPr>
              <w:pStyle w:val="Bodytext20"/>
              <w:shd w:val="clear" w:color="auto" w:fill="auto"/>
              <w:spacing w:after="0" w:line="240" w:lineRule="auto"/>
              <w:ind w:right="-8"/>
              <w:jc w:val="center"/>
              <w:rPr>
                <w:rFonts w:ascii="Sylfaen" w:hAnsi="Sylfaen"/>
                <w:sz w:val="20"/>
                <w:szCs w:val="20"/>
              </w:rPr>
            </w:pPr>
            <w:r w:rsidRPr="00007E52">
              <w:rPr>
                <w:rFonts w:ascii="Sylfaen" w:hAnsi="Sylfaen"/>
              </w:rPr>
              <w:t>_________________</w:t>
            </w:r>
          </w:p>
        </w:tc>
      </w:tr>
    </w:tbl>
    <w:p w:rsidR="001D6534" w:rsidRPr="00007E52" w:rsidRDefault="001D6534" w:rsidP="00332151">
      <w:pPr>
        <w:pStyle w:val="Bodytext20"/>
        <w:shd w:val="clear" w:color="auto" w:fill="auto"/>
        <w:spacing w:after="0" w:line="240" w:lineRule="auto"/>
        <w:ind w:left="2835" w:right="-8"/>
        <w:jc w:val="center"/>
        <w:rPr>
          <w:rFonts w:ascii="Sylfaen" w:hAnsi="Sylfaen"/>
          <w:sz w:val="20"/>
          <w:szCs w:val="20"/>
        </w:rPr>
      </w:pPr>
    </w:p>
    <w:sectPr w:rsidR="001D6534" w:rsidRPr="00007E52" w:rsidSect="00443DBF">
      <w:footerReference w:type="default" r:id="rId9"/>
      <w:pgSz w:w="11900" w:h="16840" w:code="9"/>
      <w:pgMar w:top="1418" w:right="1418" w:bottom="1418" w:left="1418" w:header="0" w:footer="49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8E" w:rsidRDefault="009C138E" w:rsidP="00137BC2">
      <w:r>
        <w:separator/>
      </w:r>
    </w:p>
  </w:endnote>
  <w:endnote w:type="continuationSeparator" w:id="0">
    <w:p w:rsidR="009C138E" w:rsidRDefault="009C138E" w:rsidP="0013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73531"/>
      <w:docPartObj>
        <w:docPartGallery w:val="Page Numbers (Bottom of Page)"/>
        <w:docPartUnique/>
      </w:docPartObj>
    </w:sdtPr>
    <w:sdtEndPr/>
    <w:sdtContent>
      <w:p w:rsidR="001D6534" w:rsidRDefault="00FA7F7B" w:rsidP="00443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8E" w:rsidRDefault="009C138E"/>
  </w:footnote>
  <w:footnote w:type="continuationSeparator" w:id="0">
    <w:p w:rsidR="009C138E" w:rsidRDefault="009C13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A006B"/>
    <w:multiLevelType w:val="multilevel"/>
    <w:tmpl w:val="8F08C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E314B7"/>
    <w:multiLevelType w:val="multilevel"/>
    <w:tmpl w:val="94BC8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3E15D9"/>
    <w:multiLevelType w:val="multilevel"/>
    <w:tmpl w:val="A3F0A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C2"/>
    <w:rsid w:val="00007E52"/>
    <w:rsid w:val="00016344"/>
    <w:rsid w:val="00060A61"/>
    <w:rsid w:val="0006383E"/>
    <w:rsid w:val="00063F67"/>
    <w:rsid w:val="000664CB"/>
    <w:rsid w:val="00067B20"/>
    <w:rsid w:val="00071E1F"/>
    <w:rsid w:val="000962A4"/>
    <w:rsid w:val="000A0FCD"/>
    <w:rsid w:val="000D3CE1"/>
    <w:rsid w:val="00137BC2"/>
    <w:rsid w:val="00184D59"/>
    <w:rsid w:val="001D6534"/>
    <w:rsid w:val="001F7297"/>
    <w:rsid w:val="00235FB5"/>
    <w:rsid w:val="002804BE"/>
    <w:rsid w:val="00327494"/>
    <w:rsid w:val="00332151"/>
    <w:rsid w:val="003B217D"/>
    <w:rsid w:val="003D417F"/>
    <w:rsid w:val="00422ECC"/>
    <w:rsid w:val="00443DBF"/>
    <w:rsid w:val="004F06B6"/>
    <w:rsid w:val="00540A6D"/>
    <w:rsid w:val="00557DAD"/>
    <w:rsid w:val="005930E6"/>
    <w:rsid w:val="005E1D89"/>
    <w:rsid w:val="00733CD9"/>
    <w:rsid w:val="007739E0"/>
    <w:rsid w:val="007975D9"/>
    <w:rsid w:val="008B501A"/>
    <w:rsid w:val="00901B9F"/>
    <w:rsid w:val="00935045"/>
    <w:rsid w:val="00942105"/>
    <w:rsid w:val="00995A7F"/>
    <w:rsid w:val="009C138E"/>
    <w:rsid w:val="009E4F2C"/>
    <w:rsid w:val="00A108CD"/>
    <w:rsid w:val="00A13C59"/>
    <w:rsid w:val="00A41F87"/>
    <w:rsid w:val="00A756C8"/>
    <w:rsid w:val="00B71657"/>
    <w:rsid w:val="00B82AFC"/>
    <w:rsid w:val="00BC626B"/>
    <w:rsid w:val="00BD0121"/>
    <w:rsid w:val="00BD79C7"/>
    <w:rsid w:val="00BF3A80"/>
    <w:rsid w:val="00C35066"/>
    <w:rsid w:val="00C94627"/>
    <w:rsid w:val="00C96C17"/>
    <w:rsid w:val="00D30066"/>
    <w:rsid w:val="00D85C07"/>
    <w:rsid w:val="00DB2AC0"/>
    <w:rsid w:val="00E30AAB"/>
    <w:rsid w:val="00E568FF"/>
    <w:rsid w:val="00EC09E7"/>
    <w:rsid w:val="00F34DC9"/>
    <w:rsid w:val="00F7128F"/>
    <w:rsid w:val="00F85FC6"/>
    <w:rsid w:val="00FA7F7B"/>
    <w:rsid w:val="00FB0A94"/>
    <w:rsid w:val="00F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7BC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BC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">
    <w:name w:val="Heading #4_"/>
    <w:basedOn w:val="DefaultParagraphFont"/>
    <w:link w:val="Heading4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Spacing4pt">
    <w:name w:val="Heading #4 + Spacing 4 pt"/>
    <w:basedOn w:val="Heading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4pt">
    <w:name w:val="Body text (2) + 14 pt"/>
    <w:basedOn w:val="Bodytext2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Bold">
    <w:name w:val="Body text (4) + Bold"/>
    <w:aliases w:val="Spacing 2 pt,Body text (2) + Bold,Spacing 4 pt,Body text (2) + Sylfaen,14 pt,Body text (2) + Arial Unicode MS,10.5 pt"/>
    <w:basedOn w:val="Bodytext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Spacing2pt">
    <w:name w:val="Heading #4 + Spacing 2 pt"/>
    <w:basedOn w:val="Heading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137BC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TOC5Char">
    <w:name w:val="TOC 5 Char"/>
    <w:basedOn w:val="DefaultParagraphFont"/>
    <w:link w:val="TOC5"/>
    <w:rsid w:val="00F7128F"/>
    <w:rPr>
      <w:rFonts w:eastAsia="Times New Roman" w:cs="Times New Roman"/>
      <w:color w:val="000000"/>
    </w:rPr>
  </w:style>
  <w:style w:type="character" w:customStyle="1" w:styleId="Tableofcontents2">
    <w:name w:val="Table of contents (2)_"/>
    <w:basedOn w:val="DefaultParagraphFont"/>
    <w:link w:val="Tableofcontents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number5">
    <w:name w:val="Heading number #5_"/>
    <w:basedOn w:val="DefaultParagraphFont"/>
    <w:link w:val="Headingnumber5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DefaultParagraphFont"/>
    <w:link w:val="Heading5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Bodytext3Spacing4pt">
    <w:name w:val="Body text (3) + Spacing 4 pt"/>
    <w:basedOn w:val="Bodytext3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42">
    <w:name w:val="Heading #4 (2)_"/>
    <w:basedOn w:val="DefaultParagraphFont"/>
    <w:link w:val="Heading420"/>
    <w:rsid w:val="00137B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213pt">
    <w:name w:val="Heading #4 (2) + 13 pt"/>
    <w:basedOn w:val="Heading42"/>
    <w:rsid w:val="00137B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37B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137BC2"/>
    <w:pPr>
      <w:shd w:val="clear" w:color="auto" w:fill="FFFFFF"/>
      <w:spacing w:before="120" w:after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40">
    <w:name w:val="Heading #4"/>
    <w:basedOn w:val="Normal"/>
    <w:link w:val="Heading4"/>
    <w:rsid w:val="00137BC2"/>
    <w:pPr>
      <w:shd w:val="clear" w:color="auto" w:fill="FFFFFF"/>
      <w:spacing w:before="10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37BC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137B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137B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137BC2"/>
    <w:pPr>
      <w:shd w:val="clear" w:color="auto" w:fill="FFFFFF"/>
      <w:spacing w:before="300" w:after="60" w:line="0" w:lineRule="atLeast"/>
      <w:jc w:val="both"/>
      <w:outlineLvl w:val="0"/>
    </w:pPr>
    <w:rPr>
      <w:rFonts w:ascii="Impact" w:eastAsia="Impact" w:hAnsi="Impact" w:cs="Impact"/>
      <w:spacing w:val="30"/>
      <w:sz w:val="34"/>
      <w:szCs w:val="34"/>
    </w:rPr>
  </w:style>
  <w:style w:type="paragraph" w:styleId="TOC5">
    <w:name w:val="toc 5"/>
    <w:basedOn w:val="Normal"/>
    <w:link w:val="TOC5Char"/>
    <w:autoRedefine/>
    <w:rsid w:val="00F7128F"/>
    <w:pPr>
      <w:ind w:right="-6"/>
    </w:pPr>
    <w:rPr>
      <w:rFonts w:eastAsia="Times New Roman" w:cs="Times New Roman"/>
    </w:rPr>
  </w:style>
  <w:style w:type="paragraph" w:customStyle="1" w:styleId="Tableofcontents20">
    <w:name w:val="Table of contents (2)"/>
    <w:basedOn w:val="Normal"/>
    <w:link w:val="Tableofcontents2"/>
    <w:rsid w:val="00137BC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Headingnumber50">
    <w:name w:val="Heading number #5"/>
    <w:basedOn w:val="Normal"/>
    <w:link w:val="Headingnumber5"/>
    <w:rsid w:val="00137BC2"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0">
    <w:name w:val="Heading #5"/>
    <w:basedOn w:val="Normal"/>
    <w:link w:val="Heading5"/>
    <w:rsid w:val="00137BC2"/>
    <w:pPr>
      <w:shd w:val="clear" w:color="auto" w:fill="FFFFFF"/>
      <w:spacing w:before="240" w:line="324" w:lineRule="exact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137BC2"/>
    <w:pPr>
      <w:shd w:val="clear" w:color="auto" w:fill="FFFFFF"/>
      <w:spacing w:before="360" w:line="51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40"/>
      <w:szCs w:val="40"/>
    </w:rPr>
  </w:style>
  <w:style w:type="paragraph" w:customStyle="1" w:styleId="Heading420">
    <w:name w:val="Heading #4 (2)"/>
    <w:basedOn w:val="Normal"/>
    <w:link w:val="Heading42"/>
    <w:rsid w:val="00137BC2"/>
    <w:pPr>
      <w:shd w:val="clear" w:color="auto" w:fill="FFFFFF"/>
      <w:spacing w:before="240" w:after="60" w:line="0" w:lineRule="atLeast"/>
      <w:jc w:val="both"/>
      <w:outlineLvl w:val="3"/>
    </w:pPr>
    <w:rPr>
      <w:rFonts w:ascii="Lucida Sans Unicode" w:eastAsia="Lucida Sans Unicode" w:hAnsi="Lucida Sans Unicode" w:cs="Lucida Sans Unicode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C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3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C5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5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0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85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07"/>
    <w:rPr>
      <w:color w:val="000000"/>
    </w:rPr>
  </w:style>
  <w:style w:type="table" w:styleId="TableGrid">
    <w:name w:val="Table Grid"/>
    <w:basedOn w:val="TableNormal"/>
    <w:uiPriority w:val="59"/>
    <w:rsid w:val="001D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7BC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BC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">
    <w:name w:val="Heading #4_"/>
    <w:basedOn w:val="DefaultParagraphFont"/>
    <w:link w:val="Heading4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Spacing4pt">
    <w:name w:val="Heading #4 + Spacing 4 pt"/>
    <w:basedOn w:val="Heading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4pt">
    <w:name w:val="Body text (2) + 14 pt"/>
    <w:basedOn w:val="Bodytext2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Bold">
    <w:name w:val="Body text (4) + Bold"/>
    <w:aliases w:val="Spacing 2 pt,Body text (2) + Bold,Spacing 4 pt,Body text (2) + Sylfaen,14 pt,Body text (2) + Arial Unicode MS,10.5 pt"/>
    <w:basedOn w:val="Bodytext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Spacing2pt">
    <w:name w:val="Heading #4 + Spacing 2 pt"/>
    <w:basedOn w:val="Heading4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137BC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TOC5Char">
    <w:name w:val="TOC 5 Char"/>
    <w:basedOn w:val="DefaultParagraphFont"/>
    <w:link w:val="TOC5"/>
    <w:rsid w:val="00F7128F"/>
    <w:rPr>
      <w:rFonts w:eastAsia="Times New Roman" w:cs="Times New Roman"/>
      <w:color w:val="000000"/>
    </w:rPr>
  </w:style>
  <w:style w:type="character" w:customStyle="1" w:styleId="Tableofcontents2">
    <w:name w:val="Table of contents (2)_"/>
    <w:basedOn w:val="DefaultParagraphFont"/>
    <w:link w:val="Tableofcontents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number5">
    <w:name w:val="Heading number #5_"/>
    <w:basedOn w:val="DefaultParagraphFont"/>
    <w:link w:val="Headingnumber5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DefaultParagraphFont"/>
    <w:link w:val="Heading5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Bodytext3Spacing4pt">
    <w:name w:val="Body text (3) + Spacing 4 pt"/>
    <w:basedOn w:val="Bodytext3"/>
    <w:rsid w:val="00137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42">
    <w:name w:val="Heading #4 (2)_"/>
    <w:basedOn w:val="DefaultParagraphFont"/>
    <w:link w:val="Heading420"/>
    <w:rsid w:val="00137B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213pt">
    <w:name w:val="Heading #4 (2) + 13 pt"/>
    <w:basedOn w:val="Heading42"/>
    <w:rsid w:val="00137B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137BC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37B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137BC2"/>
    <w:pPr>
      <w:shd w:val="clear" w:color="auto" w:fill="FFFFFF"/>
      <w:spacing w:before="120" w:after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40">
    <w:name w:val="Heading #4"/>
    <w:basedOn w:val="Normal"/>
    <w:link w:val="Heading4"/>
    <w:rsid w:val="00137BC2"/>
    <w:pPr>
      <w:shd w:val="clear" w:color="auto" w:fill="FFFFFF"/>
      <w:spacing w:before="10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37BC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137B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137B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137BC2"/>
    <w:pPr>
      <w:shd w:val="clear" w:color="auto" w:fill="FFFFFF"/>
      <w:spacing w:before="300" w:after="60" w:line="0" w:lineRule="atLeast"/>
      <w:jc w:val="both"/>
      <w:outlineLvl w:val="0"/>
    </w:pPr>
    <w:rPr>
      <w:rFonts w:ascii="Impact" w:eastAsia="Impact" w:hAnsi="Impact" w:cs="Impact"/>
      <w:spacing w:val="30"/>
      <w:sz w:val="34"/>
      <w:szCs w:val="34"/>
    </w:rPr>
  </w:style>
  <w:style w:type="paragraph" w:styleId="TOC5">
    <w:name w:val="toc 5"/>
    <w:basedOn w:val="Normal"/>
    <w:link w:val="TOC5Char"/>
    <w:autoRedefine/>
    <w:rsid w:val="00F7128F"/>
    <w:pPr>
      <w:ind w:right="-6"/>
    </w:pPr>
    <w:rPr>
      <w:rFonts w:eastAsia="Times New Roman" w:cs="Times New Roman"/>
    </w:rPr>
  </w:style>
  <w:style w:type="paragraph" w:customStyle="1" w:styleId="Tableofcontents20">
    <w:name w:val="Table of contents (2)"/>
    <w:basedOn w:val="Normal"/>
    <w:link w:val="Tableofcontents2"/>
    <w:rsid w:val="00137BC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Headingnumber50">
    <w:name w:val="Heading number #5"/>
    <w:basedOn w:val="Normal"/>
    <w:link w:val="Headingnumber5"/>
    <w:rsid w:val="00137BC2"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0">
    <w:name w:val="Heading #5"/>
    <w:basedOn w:val="Normal"/>
    <w:link w:val="Heading5"/>
    <w:rsid w:val="00137BC2"/>
    <w:pPr>
      <w:shd w:val="clear" w:color="auto" w:fill="FFFFFF"/>
      <w:spacing w:before="240" w:line="324" w:lineRule="exact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137BC2"/>
    <w:pPr>
      <w:shd w:val="clear" w:color="auto" w:fill="FFFFFF"/>
      <w:spacing w:before="360" w:line="51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40"/>
      <w:szCs w:val="40"/>
    </w:rPr>
  </w:style>
  <w:style w:type="paragraph" w:customStyle="1" w:styleId="Heading420">
    <w:name w:val="Heading #4 (2)"/>
    <w:basedOn w:val="Normal"/>
    <w:link w:val="Heading42"/>
    <w:rsid w:val="00137BC2"/>
    <w:pPr>
      <w:shd w:val="clear" w:color="auto" w:fill="FFFFFF"/>
      <w:spacing w:before="240" w:after="60" w:line="0" w:lineRule="atLeast"/>
      <w:jc w:val="both"/>
      <w:outlineLvl w:val="3"/>
    </w:pPr>
    <w:rPr>
      <w:rFonts w:ascii="Lucida Sans Unicode" w:eastAsia="Lucida Sans Unicode" w:hAnsi="Lucida Sans Unicode" w:cs="Lucida Sans Unicode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C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3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C5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5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0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85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07"/>
    <w:rPr>
      <w:color w:val="000000"/>
    </w:rPr>
  </w:style>
  <w:style w:type="table" w:styleId="TableGrid">
    <w:name w:val="Table Grid"/>
    <w:basedOn w:val="TableNormal"/>
    <w:uiPriority w:val="59"/>
    <w:rsid w:val="001D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BC67-802A-441F-B92E-2BFBD1FD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2017-11-06T06:47:00Z</dcterms:created>
  <dcterms:modified xsi:type="dcterms:W3CDTF">2017-11-06T06:47:00Z</dcterms:modified>
</cp:coreProperties>
</file>