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94" w:rsidRPr="009D02DE" w:rsidRDefault="003F5494" w:rsidP="003F5494">
      <w:pPr>
        <w:pStyle w:val="mechtex"/>
        <w:rPr>
          <w:rFonts w:ascii="GHEA Grapalat" w:hAnsi="GHEA Grapalat" w:cs="Sylfaen"/>
          <w:sz w:val="22"/>
          <w:szCs w:val="22"/>
        </w:rPr>
      </w:pPr>
      <w:r w:rsidRPr="009D02DE"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</w:t>
      </w: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9D02DE">
        <w:rPr>
          <w:rFonts w:ascii="GHEA Grapalat" w:hAnsi="GHEA Grapalat" w:cs="Sylfae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bookmarkStart w:id="0" w:name="_GoBack"/>
      <w:bookmarkEnd w:id="0"/>
      <w:proofErr w:type="spellStart"/>
      <w:r w:rsidRPr="009D02DE">
        <w:rPr>
          <w:rFonts w:ascii="GHEA Grapalat" w:hAnsi="GHEA Grapalat" w:cs="Sylfaen"/>
          <w:sz w:val="22"/>
          <w:szCs w:val="22"/>
        </w:rPr>
        <w:t>Հավելված</w:t>
      </w:r>
      <w:proofErr w:type="spellEnd"/>
      <w:r w:rsidRPr="009D02DE">
        <w:rPr>
          <w:rFonts w:ascii="GHEA Grapalat" w:hAnsi="GHEA Grapalat" w:cs="Sylfaen"/>
          <w:sz w:val="22"/>
          <w:szCs w:val="22"/>
        </w:rPr>
        <w:t xml:space="preserve"> N </w:t>
      </w:r>
      <w:r>
        <w:rPr>
          <w:rFonts w:ascii="GHEA Grapalat" w:hAnsi="GHEA Grapalat" w:cs="Sylfaen"/>
          <w:sz w:val="22"/>
          <w:szCs w:val="22"/>
        </w:rPr>
        <w:t>2</w:t>
      </w:r>
    </w:p>
    <w:p w:rsidR="003F5494" w:rsidRPr="009D02DE" w:rsidRDefault="003F5494" w:rsidP="003F5494">
      <w:pPr>
        <w:pStyle w:val="mechtex"/>
        <w:rPr>
          <w:rFonts w:ascii="GHEA Grapalat" w:hAnsi="GHEA Grapalat" w:cs="Sylfaen"/>
          <w:sz w:val="22"/>
          <w:szCs w:val="22"/>
        </w:rPr>
      </w:pPr>
      <w:r w:rsidRPr="009D02DE">
        <w:rPr>
          <w:rFonts w:ascii="GHEA Grapalat" w:hAnsi="GHEA Grapalat" w:cs="Sylfaen"/>
          <w:sz w:val="22"/>
          <w:szCs w:val="22"/>
        </w:rPr>
        <w:t xml:space="preserve">                                                           </w:t>
      </w:r>
      <w:r>
        <w:rPr>
          <w:rFonts w:ascii="GHEA Grapalat" w:hAnsi="GHEA Grapalat" w:cs="Sylfaen"/>
          <w:sz w:val="22"/>
          <w:szCs w:val="22"/>
        </w:rPr>
        <w:t xml:space="preserve">             ՀՀ  </w:t>
      </w:r>
      <w:proofErr w:type="spellStart"/>
      <w:r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r w:rsidRPr="009D02DE">
        <w:rPr>
          <w:rFonts w:ascii="GHEA Grapalat" w:hAnsi="GHEA Grapalat" w:cs="Sylfaen"/>
          <w:sz w:val="22"/>
          <w:szCs w:val="22"/>
        </w:rPr>
        <w:t>2017 թ.</w:t>
      </w:r>
    </w:p>
    <w:p w:rsidR="003F5494" w:rsidRPr="009D02DE" w:rsidRDefault="003F5494" w:rsidP="003F5494">
      <w:pPr>
        <w:pStyle w:val="mechtex"/>
        <w:rPr>
          <w:rFonts w:ascii="GHEA Grapalat" w:hAnsi="GHEA Grapalat" w:cs="Tahoma"/>
          <w:sz w:val="22"/>
          <w:szCs w:val="22"/>
        </w:rPr>
      </w:pPr>
      <w:r w:rsidRPr="009D02DE">
        <w:rPr>
          <w:rFonts w:ascii="GHEA Grapalat" w:hAnsi="GHEA Grapalat" w:cs="Sylfaen"/>
          <w:spacing w:val="-4"/>
          <w:sz w:val="22"/>
          <w:szCs w:val="22"/>
        </w:rPr>
        <w:t xml:space="preserve">                                        </w:t>
      </w:r>
      <w:r>
        <w:rPr>
          <w:rFonts w:ascii="GHEA Grapalat" w:hAnsi="GHEA Grapalat" w:cs="Sylfaen"/>
          <w:spacing w:val="-4"/>
          <w:sz w:val="22"/>
          <w:szCs w:val="22"/>
        </w:rPr>
        <w:t xml:space="preserve">                            </w:t>
      </w:r>
      <w:r>
        <w:rPr>
          <w:rFonts w:ascii="GHEA Grapalat" w:hAnsi="GHEA Grapalat" w:cs="Sylfaen"/>
          <w:spacing w:val="-4"/>
          <w:sz w:val="22"/>
          <w:szCs w:val="22"/>
          <w:lang w:val="en-US"/>
        </w:rPr>
        <w:t xml:space="preserve">  </w:t>
      </w:r>
      <w:r w:rsidRPr="009D02DE">
        <w:rPr>
          <w:rFonts w:ascii="GHEA Grapalat" w:hAnsi="GHEA Grapalat" w:cs="Sylfaen"/>
          <w:spacing w:val="-4"/>
          <w:sz w:val="22"/>
          <w:szCs w:val="22"/>
        </w:rPr>
        <w:t xml:space="preserve">   </w:t>
      </w:r>
      <w:proofErr w:type="spellStart"/>
      <w:r w:rsidRPr="009D02DE">
        <w:rPr>
          <w:rFonts w:ascii="GHEA Grapalat" w:hAnsi="GHEA Grapalat" w:cs="Sylfaen"/>
          <w:spacing w:val="-4"/>
          <w:sz w:val="22"/>
          <w:szCs w:val="22"/>
        </w:rPr>
        <w:t>սեպտեմբերի</w:t>
      </w:r>
      <w:proofErr w:type="spellEnd"/>
      <w:r w:rsidRPr="009D02DE">
        <w:rPr>
          <w:rFonts w:ascii="GHEA Grapalat" w:hAnsi="GHEA Grapalat" w:cs="Sylfaen"/>
          <w:spacing w:val="-4"/>
          <w:sz w:val="22"/>
          <w:szCs w:val="22"/>
        </w:rPr>
        <w:t xml:space="preserve"> 28-ի </w:t>
      </w:r>
      <w:proofErr w:type="spellStart"/>
      <w:r w:rsidRPr="009D02DE">
        <w:rPr>
          <w:rFonts w:ascii="GHEA Grapalat" w:hAnsi="GHEA Grapalat" w:cs="Sylfaen"/>
          <w:spacing w:val="-4"/>
          <w:sz w:val="22"/>
          <w:szCs w:val="22"/>
        </w:rPr>
        <w:t>նիստի</w:t>
      </w:r>
      <w:proofErr w:type="spellEnd"/>
      <w:r w:rsidRPr="009D02DE">
        <w:rPr>
          <w:rFonts w:ascii="GHEA Grapalat" w:hAnsi="GHEA Grapalat" w:cs="Sylfaen"/>
          <w:spacing w:val="-4"/>
          <w:sz w:val="22"/>
          <w:szCs w:val="22"/>
        </w:rPr>
        <w:t xml:space="preserve"> N 41</w:t>
      </w:r>
      <w:r w:rsidRPr="009D02DE"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Pr="009D02DE">
        <w:rPr>
          <w:rFonts w:ascii="GHEA Grapalat" w:hAnsi="GHEA Grapalat" w:cs="Sylfaen"/>
          <w:sz w:val="22"/>
          <w:szCs w:val="22"/>
        </w:rPr>
        <w:br/>
        <w:t xml:space="preserve">                                                                  </w:t>
      </w:r>
      <w:r>
        <w:rPr>
          <w:rFonts w:ascii="GHEA Grapalat" w:hAnsi="GHEA Grapalat" w:cs="Sylfaen"/>
          <w:sz w:val="22"/>
          <w:szCs w:val="22"/>
          <w:lang w:val="en-US"/>
        </w:rPr>
        <w:t xml:space="preserve">       </w:t>
      </w:r>
      <w:proofErr w:type="spellStart"/>
      <w:r w:rsidRPr="009D02DE">
        <w:rPr>
          <w:rFonts w:ascii="GHEA Grapalat" w:hAnsi="GHEA Grapalat" w:cs="Sylfaen"/>
          <w:sz w:val="22"/>
          <w:szCs w:val="22"/>
        </w:rPr>
        <w:t>արձանագրային</w:t>
      </w:r>
      <w:proofErr w:type="spellEnd"/>
      <w:r w:rsidRPr="009D02DE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9D02DE">
        <w:rPr>
          <w:rFonts w:ascii="GHEA Grapalat" w:hAnsi="GHEA Grapalat" w:cs="Sylfaen"/>
          <w:sz w:val="22"/>
          <w:szCs w:val="22"/>
        </w:rPr>
        <w:t>որոշման</w:t>
      </w:r>
      <w:proofErr w:type="spellEnd"/>
    </w:p>
    <w:p w:rsidR="003F5494" w:rsidRPr="002D568C" w:rsidRDefault="003F5494" w:rsidP="003F5494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</w:p>
    <w:p w:rsidR="003F5494" w:rsidRPr="002D568C" w:rsidRDefault="003F5494" w:rsidP="003F5494">
      <w:pPr>
        <w:spacing w:line="360" w:lineRule="auto"/>
        <w:ind w:right="-711"/>
        <w:jc w:val="center"/>
        <w:rPr>
          <w:rFonts w:ascii="GHEA Grapalat" w:hAnsi="GHEA Grapalat" w:cs="Sylfaen"/>
          <w:b/>
          <w:lang w:val="af-ZA"/>
        </w:rPr>
      </w:pPr>
      <w:r w:rsidRPr="002D568C">
        <w:rPr>
          <w:rFonts w:ascii="GHEA Grapalat" w:hAnsi="GHEA Grapalat" w:cs="Sylfaen"/>
          <w:b/>
          <w:lang w:val="hy-AM"/>
        </w:rPr>
        <w:t>Ց</w:t>
      </w:r>
      <w:r w:rsidRPr="002D568C">
        <w:rPr>
          <w:rFonts w:ascii="GHEA Grapalat" w:hAnsi="GHEA Grapalat" w:cs="Sylfaen"/>
          <w:b/>
          <w:lang w:val="pt-BR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Ա</w:t>
      </w:r>
      <w:r w:rsidRPr="002D568C">
        <w:rPr>
          <w:rFonts w:ascii="GHEA Grapalat" w:hAnsi="GHEA Grapalat" w:cs="Sylfaen"/>
          <w:b/>
          <w:lang w:val="pt-BR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Ն</w:t>
      </w:r>
      <w:r w:rsidRPr="002D568C">
        <w:rPr>
          <w:rFonts w:ascii="GHEA Grapalat" w:hAnsi="GHEA Grapalat" w:cs="Sylfaen"/>
          <w:b/>
          <w:lang w:val="pt-BR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Կ</w:t>
      </w:r>
    </w:p>
    <w:p w:rsidR="003F5494" w:rsidRPr="002D568C" w:rsidRDefault="003F5494" w:rsidP="003F5494">
      <w:pPr>
        <w:jc w:val="center"/>
        <w:rPr>
          <w:rFonts w:ascii="GHEA Grapalat" w:hAnsi="GHEA Grapalat" w:cs="Times Armenian"/>
          <w:b/>
          <w:lang w:val="af-ZA"/>
        </w:rPr>
      </w:pPr>
      <w:r w:rsidRPr="002D568C">
        <w:rPr>
          <w:rFonts w:ascii="GHEA Grapalat" w:hAnsi="GHEA Grapalat" w:cs="Sylfaen"/>
          <w:b/>
          <w:lang w:val="hy-AM"/>
        </w:rPr>
        <w:t>ԶԲԱՂՎԱԾՈՒԹՅԱՆ</w:t>
      </w:r>
      <w:r w:rsidRPr="002D568C">
        <w:rPr>
          <w:rFonts w:ascii="GHEA Grapalat" w:hAnsi="GHEA Grapalat" w:cs="Times Armenian"/>
          <w:b/>
          <w:lang w:val="af-ZA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ԿԱՐԳԱՎՈՐՄԱՆ</w:t>
      </w:r>
      <w:r w:rsidRPr="002D568C">
        <w:rPr>
          <w:rFonts w:ascii="GHEA Grapalat" w:hAnsi="GHEA Grapalat" w:cs="Times Armenian"/>
          <w:b/>
          <w:lang w:val="af-ZA"/>
        </w:rPr>
        <w:t xml:space="preserve"> 201</w:t>
      </w:r>
      <w:r>
        <w:rPr>
          <w:rFonts w:ascii="GHEA Grapalat" w:hAnsi="GHEA Grapalat" w:cs="Times Armenian"/>
          <w:b/>
          <w:lang w:val="hy-AM"/>
        </w:rPr>
        <w:t>8</w:t>
      </w:r>
      <w:r w:rsidRPr="002D568C">
        <w:rPr>
          <w:rFonts w:ascii="GHEA Grapalat" w:hAnsi="GHEA Grapalat" w:cs="Times Armenian"/>
          <w:b/>
          <w:lang w:val="af-ZA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ԹՎԱԿԱՆԻ</w:t>
      </w:r>
      <w:r w:rsidRPr="002D568C">
        <w:rPr>
          <w:rFonts w:ascii="GHEA Grapalat" w:hAnsi="GHEA Grapalat" w:cs="Times Armenian"/>
          <w:b/>
          <w:lang w:val="af-ZA"/>
        </w:rPr>
        <w:t xml:space="preserve"> </w:t>
      </w:r>
      <w:r w:rsidRPr="002D568C">
        <w:rPr>
          <w:rFonts w:ascii="GHEA Grapalat" w:hAnsi="GHEA Grapalat" w:cs="Sylfaen"/>
          <w:b/>
          <w:lang w:val="hy-AM"/>
        </w:rPr>
        <w:t>ՊԵՏԱԿԱՆ</w:t>
      </w:r>
      <w:r w:rsidRPr="002D568C">
        <w:rPr>
          <w:rFonts w:ascii="GHEA Grapalat" w:hAnsi="GHEA Grapalat" w:cs="Sylfaen"/>
          <w:b/>
          <w:lang w:val="pt-BR"/>
        </w:rPr>
        <w:t xml:space="preserve"> </w:t>
      </w:r>
      <w:r w:rsidRPr="002D568C">
        <w:rPr>
          <w:rFonts w:ascii="GHEA Grapalat" w:hAnsi="GHEA Grapalat" w:cs="Sylfaen"/>
          <w:b/>
        </w:rPr>
        <w:t>ԾՐԱԳՐՈՎ</w:t>
      </w:r>
      <w:r w:rsidRPr="002D568C">
        <w:rPr>
          <w:rFonts w:ascii="GHEA Grapalat" w:hAnsi="GHEA Grapalat" w:cs="Times Armenian"/>
          <w:b/>
          <w:lang w:val="af-ZA"/>
        </w:rPr>
        <w:t xml:space="preserve"> </w:t>
      </w:r>
    </w:p>
    <w:p w:rsidR="003F5494" w:rsidRPr="002D568C" w:rsidRDefault="003F5494" w:rsidP="003F5494">
      <w:pPr>
        <w:jc w:val="center"/>
        <w:rPr>
          <w:rFonts w:ascii="GHEA Grapalat" w:hAnsi="GHEA Grapalat" w:cs="Sylfaen"/>
          <w:b/>
          <w:lang w:val="af-ZA"/>
        </w:rPr>
      </w:pPr>
      <w:r w:rsidRPr="002D568C">
        <w:rPr>
          <w:rFonts w:ascii="GHEA Grapalat" w:hAnsi="GHEA Grapalat" w:cs="Sylfaen"/>
          <w:b/>
          <w:spacing w:val="-8"/>
        </w:rPr>
        <w:t>ՆԱԽԱՏԵՍՎՈՂ</w:t>
      </w:r>
      <w:r w:rsidRPr="002D568C">
        <w:rPr>
          <w:rFonts w:ascii="GHEA Grapalat" w:hAnsi="GHEA Grapalat" w:cs="Times Armenian"/>
          <w:b/>
          <w:spacing w:val="-8"/>
          <w:lang w:val="af-ZA"/>
        </w:rPr>
        <w:t xml:space="preserve"> ԵՎ ՀԱՅԱՍՏԱՆԻ ՀԱՆՐԱՊԵՏՈՒԹՅԱՆ ԱՇԽԱՏԱՆՔԻ ԵՎ ՍՈՑԻԱԼԱԿԱՆ </w:t>
      </w:r>
      <w:r w:rsidRPr="002D568C">
        <w:rPr>
          <w:rFonts w:ascii="GHEA Grapalat" w:hAnsi="GHEA Grapalat" w:cs="Times Armenian"/>
          <w:b/>
          <w:lang w:val="af-ZA"/>
        </w:rPr>
        <w:t xml:space="preserve">ՀԱՐՑԵՐԻ ՆԱԽԱՐԱՐՈՒԹՅԱՆ ԿՈՂՄԻՑ ԻՐԱԿԱՆԱՑՎՈՂ </w:t>
      </w:r>
      <w:r w:rsidRPr="002D568C">
        <w:rPr>
          <w:rFonts w:ascii="GHEA Grapalat" w:hAnsi="GHEA Grapalat" w:cs="Sylfaen"/>
          <w:b/>
        </w:rPr>
        <w:t>ՄԻՋՈՑԱՌՈՒՄՆԵՐԻ</w:t>
      </w:r>
    </w:p>
    <w:p w:rsidR="003F5494" w:rsidRPr="002D568C" w:rsidRDefault="003F5494" w:rsidP="003F5494">
      <w:pPr>
        <w:jc w:val="center"/>
        <w:rPr>
          <w:rFonts w:ascii="GHEA Grapalat" w:hAnsi="GHEA Grapalat" w:cs="Sylfaen"/>
          <w:b/>
          <w:lang w:val="af-ZA"/>
        </w:rPr>
      </w:pPr>
    </w:p>
    <w:p w:rsidR="003F5494" w:rsidRPr="002D568C" w:rsidRDefault="003F5494" w:rsidP="003F5494">
      <w:pPr>
        <w:jc w:val="center"/>
        <w:rPr>
          <w:rFonts w:ascii="GHEA Grapalat" w:hAnsi="GHEA Grapalat" w:cs="Sylfaen"/>
          <w:b/>
          <w:vertAlign w:val="superscript"/>
          <w:lang w:val="af-ZA"/>
        </w:rPr>
      </w:pPr>
    </w:p>
    <w:tbl>
      <w:tblPr>
        <w:tblW w:w="5403" w:type="pct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219"/>
        <w:gridCol w:w="3148"/>
        <w:gridCol w:w="3039"/>
        <w:gridCol w:w="413"/>
      </w:tblGrid>
      <w:tr w:rsidR="003F5494" w:rsidRPr="002D568C" w:rsidTr="001855AF">
        <w:trPr>
          <w:gridAfter w:val="1"/>
          <w:wAfter w:w="197" w:type="pct"/>
          <w:trHeight w:val="33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318" w:hanging="318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A946F2">
              <w:rPr>
                <w:rFonts w:ascii="GHEA Grapalat" w:hAnsi="GHEA Grapalat" w:cs="Sylfaen"/>
                <w:b/>
                <w:lang w:val="en-US"/>
              </w:rPr>
              <w:t>NN</w:t>
            </w:r>
          </w:p>
          <w:p w:rsidR="003F5494" w:rsidRPr="00A946F2" w:rsidRDefault="003F5494" w:rsidP="001855AF">
            <w:pPr>
              <w:ind w:left="318" w:hanging="318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A946F2">
              <w:rPr>
                <w:rFonts w:ascii="GHEA Grapalat" w:hAnsi="GHEA Grapalat" w:cs="Sylfaen"/>
                <w:b/>
                <w:lang w:val="en-US"/>
              </w:rPr>
              <w:t>ը/կ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Միջոցառման</w:t>
            </w:r>
            <w:proofErr w:type="spellEnd"/>
            <w:r w:rsidRPr="00A946F2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2" w:hanging="2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Ակնկալվող</w:t>
            </w:r>
            <w:proofErr w:type="spellEnd"/>
            <w:r w:rsidRPr="00A946F2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արդյունքները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08" w:hanging="22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Ֆինանսավորման</w:t>
            </w:r>
            <w:proofErr w:type="spellEnd"/>
            <w:r w:rsidRPr="00A946F2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b/>
                <w:lang w:val="en-US"/>
              </w:rPr>
              <w:t>աղբյուրը</w:t>
            </w:r>
            <w:proofErr w:type="spellEnd"/>
          </w:p>
        </w:tc>
      </w:tr>
      <w:tr w:rsidR="003F5494" w:rsidRPr="002D568C" w:rsidTr="001855AF">
        <w:trPr>
          <w:gridAfter w:val="1"/>
          <w:wAfter w:w="197" w:type="pct"/>
          <w:trHeight w:val="83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2D568C" w:rsidRDefault="003F5494" w:rsidP="001855AF">
            <w:pPr>
              <w:ind w:left="318" w:hanging="318"/>
              <w:jc w:val="center"/>
              <w:rPr>
                <w:rFonts w:ascii="GHEA Grapalat" w:eastAsia="Calibri" w:hAnsi="GHEA Grapalat"/>
              </w:rPr>
            </w:pPr>
            <w:r w:rsidRPr="002D568C">
              <w:rPr>
                <w:rFonts w:ascii="GHEA Grapalat" w:eastAsia="Calibri" w:hAnsi="GHEA Grapalat"/>
              </w:rPr>
              <w:t>1.</w:t>
            </w:r>
          </w:p>
          <w:p w:rsidR="003F5494" w:rsidRPr="002D568C" w:rsidRDefault="003F5494" w:rsidP="001855A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4F52FF" w:rsidRDefault="003F5494" w:rsidP="001855AF">
            <w:pPr>
              <w:ind w:left="-18"/>
              <w:rPr>
                <w:rFonts w:ascii="GHEA Grapalat" w:hAnsi="GHEA Grapalat" w:cs="Sylfaen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խորհրդատվության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4F52FF" w:rsidRDefault="003F5494" w:rsidP="001855AF">
            <w:pPr>
              <w:rPr>
                <w:rFonts w:ascii="GHEA Grapalat" w:hAnsi="GHEA Grapalat" w:cs="Sylfaen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Տարվա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150000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խորհրդատվության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</w:t>
            </w:r>
            <w:proofErr w:type="spellEnd"/>
            <w:r w:rsidRPr="004F52FF">
              <w:rPr>
                <w:rFonts w:ascii="GHEA Grapalat" w:hAnsi="GHEA Grapalat" w:cs="Sylfaen"/>
              </w:rPr>
              <w:softHyphen/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թյան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գործակալությունում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25000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հաշվառում</w:t>
            </w:r>
            <w:proofErr w:type="spellEnd"/>
            <w:r w:rsidRPr="004F52FF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9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ֆինանսավորում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</w:p>
        </w:tc>
      </w:tr>
      <w:tr w:rsidR="003F5494" w:rsidRPr="00A946F2" w:rsidTr="001855AF">
        <w:trPr>
          <w:gridAfter w:val="1"/>
          <w:wAfter w:w="197" w:type="pct"/>
          <w:trHeight w:val="58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2.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միջնորդություն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առանց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վա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կարգավորման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ծրագրերում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ընդգրկելու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5000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միջնորդություն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ֆինանսավորում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</w:p>
        </w:tc>
      </w:tr>
      <w:tr w:rsidR="003F5494" w:rsidRPr="00A946F2" w:rsidTr="001855AF">
        <w:trPr>
          <w:gridAfter w:val="1"/>
          <w:wAfter w:w="197" w:type="pct"/>
          <w:trHeight w:val="6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3.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կարգավորման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արդյունավետության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մոնիթորինգ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գնահատում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բազաների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տվյալների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համադրում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կարգավորման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նպատակայնության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հասցեականության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բարձրացում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իրավիճակից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բխող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ճկուն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փոփոխությունների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ապահովում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ֆինանսավորում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</w:p>
        </w:tc>
      </w:tr>
      <w:tr w:rsidR="003F5494" w:rsidRPr="00A946F2" w:rsidTr="001855AF">
        <w:trPr>
          <w:gridAfter w:val="1"/>
          <w:wAfter w:w="197" w:type="pct"/>
          <w:trHeight w:val="43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4.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հետ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համագործակցություն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Տարեկան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կտրվածքով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8670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չկրկնվող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թափուր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աշխատատեղերի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գործատուներից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ստացված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հավաքագրված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տեղեկատվության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ապահովում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ֆինանսավորում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</w:p>
        </w:tc>
      </w:tr>
      <w:tr w:rsidR="003F5494" w:rsidRPr="00A946F2" w:rsidTr="001855AF">
        <w:trPr>
          <w:gridAfter w:val="1"/>
          <w:wAfter w:w="197" w:type="pct"/>
          <w:trHeight w:val="78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lastRenderedPageBreak/>
              <w:t>5.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կարգավորման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հանրային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իրազեկում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ամիս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անհրա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ժեշտությունից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ելնելով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կարգում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իրականացվող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գրերի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տեղեկատվության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շահագրգիռ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հասարակության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ներկայացուցիչներին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ֆինանսավորում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</w:p>
        </w:tc>
      </w:tr>
      <w:tr w:rsidR="003F5494" w:rsidRPr="00A946F2" w:rsidTr="001855AF">
        <w:trPr>
          <w:gridAfter w:val="1"/>
          <w:wAfter w:w="197" w:type="pct"/>
          <w:trHeight w:val="78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6.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Աշխատաշուկայում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անմրցունակ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տեղավորման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դեպքում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գործատուին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միանվագ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փոխհատուցման</w:t>
            </w:r>
            <w:proofErr w:type="spellEnd"/>
            <w:r w:rsidRPr="007A58E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A58EF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</w:p>
          <w:p w:rsidR="003F5494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ա)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Աշխատաշուկայում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անմրցունակ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ունակությունների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կարողությունների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ձեռքբերման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միանվագ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փոխհատուցում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Աշխատաշուկայում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անմրցունակ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5000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տեղավորման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վայրում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հմտություններն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ունակությունները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զարգացնելու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միանվագ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փոխհատուցում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: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80%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1,000,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000.0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A946F2" w:rsidTr="001855AF">
        <w:trPr>
          <w:gridAfter w:val="1"/>
          <w:wAfter w:w="197" w:type="pct"/>
          <w:trHeight w:val="72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7.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ազատման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ռիսկ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ուսուցման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800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ուսուցման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դասընթացների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վճար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: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25 %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  </w:t>
            </w:r>
            <w:r>
              <w:rPr>
                <w:rFonts w:ascii="GHEA Grapalat" w:hAnsi="GHEA Grapalat" w:cs="Sylfaen"/>
                <w:lang w:val="en-US"/>
              </w:rPr>
              <w:t>73,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000.0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106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8.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ազատման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ռիսկ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կրթաթոշակի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800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ազատման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ռիսկ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փնտրող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ուսուցման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կրթաթոշակի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վճարում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: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lastRenderedPageBreak/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  66,000.0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միջազգային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դոնոր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կազմակերպությունների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միջոցներ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106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lastRenderedPageBreak/>
              <w:t>9.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Ձեռք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բերած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մասնագիտությամբ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փորձ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ձեռք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բերելու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Մասնագիտություն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սակայն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փորձ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1500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պրակտիկայի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մոտ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32%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` 350,56</w:t>
            </w:r>
            <w:r>
              <w:rPr>
                <w:rFonts w:ascii="GHEA Grapalat" w:hAnsi="GHEA Grapalat" w:cs="Sylfaen"/>
                <w:lang w:val="en-US"/>
              </w:rPr>
              <w:t>6</w:t>
            </w:r>
            <w:r w:rsidRPr="00A946F2">
              <w:rPr>
                <w:rFonts w:ascii="GHEA Grapalat" w:hAnsi="GHEA Grapalat" w:cs="Sylfaen"/>
                <w:lang w:val="en-US"/>
              </w:rPr>
              <w:t>.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85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10.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տոնավաճառի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12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տոնավաճառի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: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20 %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8,400.0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</w:tc>
      </w:tr>
      <w:tr w:rsidR="003F5494" w:rsidRPr="004F52FF" w:rsidTr="001855AF">
        <w:trPr>
          <w:gridAfter w:val="1"/>
          <w:wAfter w:w="197" w:type="pct"/>
          <w:trHeight w:val="70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11.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վայրում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տեղավորմանն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վայր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գործուղված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22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այդ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թվում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հաշմանդամություն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բնակարանային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վարձի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կոմունալ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ծախսերի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վճարվող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գումար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): 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11,220.0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70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12.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Աշխատաշուկայում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անմրցունակ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մասնագիտություն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չունեցող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երիտասարդ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մայրերի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մոտ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</w:t>
            </w:r>
            <w:r>
              <w:rPr>
                <w:rFonts w:ascii="GHEA Grapalat" w:hAnsi="GHEA Grapalat" w:cs="Sylfaen"/>
                <w:lang w:val="en-US"/>
              </w:rPr>
              <w:t>ասնագիտական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ուսուցման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կազմակերպում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100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գործատուի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մոտ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ուսուցման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: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32 %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72</w:t>
            </w:r>
            <w:r w:rsidRPr="00A946F2">
              <w:rPr>
                <w:rFonts w:ascii="GHEA Grapalat" w:hAnsi="GHEA Grapalat" w:cs="Sylfaen"/>
                <w:lang w:val="en-US"/>
              </w:rPr>
              <w:t>,</w:t>
            </w:r>
            <w:r>
              <w:rPr>
                <w:rFonts w:ascii="GHEA Grapalat" w:hAnsi="GHEA Grapalat" w:cs="Sylfaen"/>
                <w:lang w:val="en-US"/>
              </w:rPr>
              <w:t>404</w:t>
            </w:r>
            <w:r w:rsidRPr="00A946F2">
              <w:rPr>
                <w:rFonts w:ascii="GHEA Grapalat" w:hAnsi="GHEA Grapalat" w:cs="Sylfaen"/>
                <w:lang w:val="en-US"/>
              </w:rPr>
              <w:t>.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70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13.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Երեխա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մինչև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24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տարեկան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գործազուրկ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կանանց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բարձրագույն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կրթությանը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նախապատրաստման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</w:t>
            </w:r>
            <w:r>
              <w:rPr>
                <w:rFonts w:ascii="GHEA Grapalat" w:hAnsi="GHEA Grapalat" w:cs="Sylfaen"/>
                <w:lang w:val="en-US"/>
              </w:rPr>
              <w:t>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Երեխա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ունեցող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մինչև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24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տարեկան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50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lastRenderedPageBreak/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: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ԲՈՒՀ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ընդունված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շահառուների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թվաքանակը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` 35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lastRenderedPageBreak/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` 29,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50.0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gridAfter w:val="1"/>
          <w:wAfter w:w="197" w:type="pct"/>
          <w:trHeight w:val="70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lastRenderedPageBreak/>
              <w:t>14.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Մինչև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երեք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տարեկան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երեխայի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խնամքի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արձակուրդում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գտնվող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երեխայի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մինչև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երկու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տարին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լրանալը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վերադառնալու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դեպքում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երեխայի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խնամքն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զուգահեռ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կազմակերպելու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</w:t>
            </w:r>
            <w:r>
              <w:rPr>
                <w:rFonts w:ascii="GHEA Grapalat" w:hAnsi="GHEA Grapalat" w:cs="Sylfaen"/>
                <w:lang w:val="en-US"/>
              </w:rPr>
              <w:t>ու</w:t>
            </w:r>
            <w:r w:rsidRPr="00A946F2">
              <w:rPr>
                <w:rFonts w:ascii="GHEA Grapalat" w:hAnsi="GHEA Grapalat" w:cs="Sylfaen"/>
                <w:lang w:val="en-US"/>
              </w:rPr>
              <w:t>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200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երեխայի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խնամքն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աշխատանքին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զուգահեռ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կազմակերպելու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աջակցության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: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կայուն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զբաղվածության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գործակիցը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90% է: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` 121,000.0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  <w:tr w:rsidR="003F5494" w:rsidRPr="004F52FF" w:rsidTr="001855AF">
        <w:trPr>
          <w:trHeight w:val="36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15.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Մասնագիտական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կողմնորոշ</w:t>
            </w:r>
            <w:r w:rsidRPr="00A946F2">
              <w:rPr>
                <w:rFonts w:ascii="GHEA Grapalat" w:hAnsi="GHEA Grapalat" w:cs="Sylfaen"/>
                <w:lang w:val="en-US"/>
              </w:rPr>
              <w:softHyphen/>
              <w:t>ման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համակարգի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մեթոդաբանության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ապահովում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կադրերի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վերապատրաստում</w:t>
            </w:r>
            <w:proofErr w:type="spellEnd"/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3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մեթոդաբանական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ձեռնարկի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մշակում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300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շահառուի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վերապատրաստում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հանրային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իրազեկում</w:t>
            </w:r>
            <w:proofErr w:type="spellEnd"/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բյուջե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>`</w:t>
            </w: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  <w:r w:rsidRPr="00A946F2"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A946F2">
              <w:rPr>
                <w:rFonts w:ascii="GHEA Grapalat" w:hAnsi="GHEA Grapalat" w:cs="Sylfaen"/>
                <w:lang w:val="en-US"/>
              </w:rPr>
              <w:t>,</w:t>
            </w:r>
            <w:r>
              <w:rPr>
                <w:rFonts w:ascii="GHEA Grapalat" w:hAnsi="GHEA Grapalat" w:cs="Sylfaen"/>
                <w:lang w:val="en-US"/>
              </w:rPr>
              <w:t>029</w:t>
            </w:r>
            <w:r w:rsidRPr="00A946F2">
              <w:rPr>
                <w:rFonts w:ascii="GHEA Grapalat" w:hAnsi="GHEA Grapalat" w:cs="Sylfaen"/>
                <w:lang w:val="en-US"/>
              </w:rPr>
              <w:t>.</w:t>
            </w:r>
            <w:r>
              <w:rPr>
                <w:rFonts w:ascii="GHEA Grapalat" w:hAnsi="GHEA Grapalat" w:cs="Sylfaen"/>
                <w:lang w:val="en-US"/>
              </w:rPr>
              <w:t>5</w:t>
            </w:r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հազար</w:t>
            </w:r>
            <w:proofErr w:type="spellEnd"/>
            <w:r w:rsidRPr="00A946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946F2">
              <w:rPr>
                <w:rFonts w:ascii="GHEA Grapalat" w:hAnsi="GHEA Grapalat" w:cs="Sylfaen"/>
                <w:lang w:val="en-US"/>
              </w:rPr>
              <w:t>դրամ</w:t>
            </w:r>
            <w:proofErr w:type="spellEnd"/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  <w:p w:rsidR="003F5494" w:rsidRPr="00A946F2" w:rsidRDefault="003F5494" w:rsidP="001855AF">
            <w:pPr>
              <w:ind w:left="-18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3F5494" w:rsidRPr="00A946F2" w:rsidRDefault="003F5494" w:rsidP="003F5494">
      <w:pPr>
        <w:ind w:left="-18"/>
        <w:rPr>
          <w:rFonts w:ascii="GHEA Grapalat" w:hAnsi="GHEA Grapalat" w:cs="Sylfaen"/>
          <w:lang w:val="en-US"/>
        </w:rPr>
      </w:pPr>
    </w:p>
    <w:p w:rsidR="008151C2" w:rsidRPr="003F5494" w:rsidRDefault="003F5494">
      <w:pPr>
        <w:rPr>
          <w:lang w:val="en-US"/>
        </w:rPr>
      </w:pPr>
    </w:p>
    <w:sectPr w:rsidR="008151C2" w:rsidRPr="003F5494" w:rsidSect="00440153">
      <w:footerReference w:type="first" r:id="rId5"/>
      <w:pgSz w:w="11907" w:h="16839" w:code="9"/>
      <w:pgMar w:top="992" w:right="1440" w:bottom="107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07" w:rsidRPr="00783ADF" w:rsidRDefault="003F5494" w:rsidP="00F5641E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E95207" w:rsidRDefault="003F549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D"/>
    <w:rsid w:val="003F5494"/>
    <w:rsid w:val="004924AD"/>
    <w:rsid w:val="006B5F7D"/>
    <w:rsid w:val="0075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F549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3F5494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mechtex">
    <w:name w:val="mechtex"/>
    <w:basedOn w:val="Normal"/>
    <w:link w:val="mechtexChar"/>
    <w:rsid w:val="003F5494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rsid w:val="003F5494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F549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3F5494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mechtex">
    <w:name w:val="mechtex"/>
    <w:basedOn w:val="Normal"/>
    <w:link w:val="mechtexChar"/>
    <w:rsid w:val="003F5494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rsid w:val="003F5494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2</cp:revision>
  <dcterms:created xsi:type="dcterms:W3CDTF">2017-10-11T05:55:00Z</dcterms:created>
  <dcterms:modified xsi:type="dcterms:W3CDTF">2017-10-11T05:56:00Z</dcterms:modified>
</cp:coreProperties>
</file>