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E7" w:rsidRPr="00FA0718" w:rsidRDefault="00C96640" w:rsidP="00FA0718">
      <w:pPr>
        <w:pStyle w:val="Bodytext20"/>
        <w:shd w:val="clear" w:color="auto" w:fill="auto"/>
        <w:spacing w:line="240" w:lineRule="auto"/>
        <w:jc w:val="right"/>
        <w:rPr>
          <w:sz w:val="24"/>
          <w:szCs w:val="24"/>
        </w:rPr>
      </w:pPr>
      <w:bookmarkStart w:id="0" w:name="_GoBack"/>
      <w:bookmarkEnd w:id="0"/>
      <w:r w:rsidRPr="00FA0718">
        <w:rPr>
          <w:sz w:val="24"/>
          <w:szCs w:val="24"/>
        </w:rPr>
        <w:t>Проект</w:t>
      </w:r>
    </w:p>
    <w:p w:rsidR="00EB4BE7" w:rsidRPr="00FA0718" w:rsidRDefault="00C96640" w:rsidP="00FA0718">
      <w:pPr>
        <w:pStyle w:val="Bodytext30"/>
        <w:shd w:val="clear" w:color="auto" w:fill="auto"/>
        <w:spacing w:before="0" w:after="120" w:line="240" w:lineRule="auto"/>
        <w:ind w:left="20"/>
        <w:rPr>
          <w:sz w:val="24"/>
          <w:szCs w:val="24"/>
        </w:rPr>
      </w:pPr>
      <w:r w:rsidRPr="00FA0718">
        <w:rPr>
          <w:rStyle w:val="Bodytext31"/>
          <w:b/>
          <w:bCs/>
          <w:sz w:val="24"/>
          <w:szCs w:val="24"/>
        </w:rPr>
        <w:t>СОГЛАШЕНИЕ</w:t>
      </w:r>
    </w:p>
    <w:p w:rsidR="00EB4BE7" w:rsidRPr="00843CBB" w:rsidRDefault="00C96640" w:rsidP="00843CBB">
      <w:pPr>
        <w:pStyle w:val="Bodytext30"/>
        <w:shd w:val="clear" w:color="auto" w:fill="auto"/>
        <w:spacing w:before="0" w:after="120" w:line="240" w:lineRule="auto"/>
        <w:ind w:left="1134" w:right="1126"/>
        <w:rPr>
          <w:sz w:val="24"/>
          <w:szCs w:val="24"/>
        </w:rPr>
      </w:pPr>
      <w:r w:rsidRPr="00FA0718">
        <w:rPr>
          <w:sz w:val="24"/>
          <w:szCs w:val="24"/>
        </w:rPr>
        <w:t>о порядке управления авторскими и смежными правами</w:t>
      </w:r>
      <w:r w:rsidR="00843CBB" w:rsidRPr="00843CBB">
        <w:rPr>
          <w:sz w:val="24"/>
          <w:szCs w:val="24"/>
        </w:rPr>
        <w:t xml:space="preserve"> </w:t>
      </w:r>
      <w:bookmarkStart w:id="1" w:name="bookmark2"/>
      <w:r w:rsidRPr="00FA0718">
        <w:rPr>
          <w:sz w:val="24"/>
          <w:szCs w:val="24"/>
        </w:rPr>
        <w:t>на коллективной основе</w:t>
      </w:r>
      <w:bookmarkEnd w:id="1"/>
    </w:p>
    <w:p w:rsidR="00843CBB" w:rsidRPr="00843CBB" w:rsidRDefault="00843CBB" w:rsidP="00FA0718">
      <w:pPr>
        <w:pStyle w:val="Heading20"/>
        <w:shd w:val="clear" w:color="auto" w:fill="auto"/>
        <w:spacing w:before="0" w:after="120" w:line="240" w:lineRule="auto"/>
        <w:ind w:left="20"/>
        <w:rPr>
          <w:sz w:val="24"/>
          <w:szCs w:val="24"/>
        </w:rPr>
      </w:pP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Государства  члены Евразийского экономического союза в лице своих правительств, далее именуемые государствами-членами,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основываясь на положениях Договора о Евразийском экономическом союзе от 29 мая 2014 года и права Евразийского экономического союза,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в целях предоставления благоприятных условий для обладателей авторского права и смежных прав,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согласились о нижеследующем:</w:t>
      </w:r>
    </w:p>
    <w:p w:rsidR="00843CBB" w:rsidRDefault="00843CBB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  <w:lang w:val="en-US"/>
        </w:rPr>
      </w:pPr>
    </w:p>
    <w:p w:rsidR="00EB4BE7" w:rsidRPr="00FA0718" w:rsidRDefault="00C96640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</w:rPr>
      </w:pPr>
      <w:r w:rsidRPr="00FA0718">
        <w:rPr>
          <w:sz w:val="24"/>
          <w:szCs w:val="24"/>
        </w:rPr>
        <w:t>Статья 1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1.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Настоящее Соглашение устанавливает порядок управления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авторскими и смежными правами на коллективной основе на территориях государств-членов в случаях, когда практическое осуществление авторских и (или) смежных прав в индивидуальном порядке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авторами,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исполнителями,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изготовителями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 xml:space="preserve">(производителями) фонограмм и иными обладателями авторских и (или) смежных прав (далее </w:t>
      </w:r>
      <w:r w:rsidR="00843CBB">
        <w:rPr>
          <w:sz w:val="24"/>
          <w:szCs w:val="24"/>
        </w:rPr>
        <w:t>-</w:t>
      </w:r>
      <w:r w:rsidRPr="00FA0718">
        <w:rPr>
          <w:sz w:val="24"/>
          <w:szCs w:val="24"/>
        </w:rPr>
        <w:t xml:space="preserve"> правообладатели) затруднено или когда законодательством государств-членов допускается использование объектов этих прав без согласия правообладателей, но с выплатой вознаграждения.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2.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В сферах коллективного управления авторскими и (или) смежными правами, определяемых законодательством государств- членов, государства-члены предусматривают возможность создания организаций по коллективному управлению правами.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3. Основанием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для осуществления полномочий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организациями по коллективному управлению правами является договор о передаче полномочий по управлению правами, заключаемый такими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организациями в письменной форме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с правообладателем, а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также другими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организациями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по коллективному управлению правами, за исключением случая, предусмотренного пунктом 4 настоящей статьи.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4.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 xml:space="preserve">В соответствии с законодательством государств-членов организации по коллективному управлению правами в соответствующих сферах коллективного управления авторскими и (или) смежными правами могут наделяться полномочиями по коллективному управлению правами как правообладателей, непосредственно передавших соответствующие полномочия таким организациям, так и тех правообладателей, которые не отказались от управления правами в их интересах. Такие полномочия являются действительными в пределах территории </w:t>
      </w:r>
      <w:r w:rsidRPr="00FA0718">
        <w:rPr>
          <w:sz w:val="24"/>
          <w:szCs w:val="24"/>
        </w:rPr>
        <w:lastRenderedPageBreak/>
        <w:t>государства-члена, в соответствии с законодательством которого они предоставлены.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5.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 xml:space="preserve">Если в соответствии с законодательством государства-члена организация по коллективному управлению правами (далее </w:t>
      </w:r>
      <w:r w:rsidR="00843CBB">
        <w:rPr>
          <w:sz w:val="24"/>
          <w:szCs w:val="24"/>
        </w:rPr>
        <w:t>-</w:t>
      </w:r>
      <w:r w:rsidRPr="00FA0718">
        <w:rPr>
          <w:sz w:val="24"/>
          <w:szCs w:val="24"/>
        </w:rPr>
        <w:t xml:space="preserve"> организация) наделяется полномочиями по коллективному управлению правами и сбору вознаграждения как в интересах правообладателей, непосредственно передавших соответствующие полномочия такой организации, так и тех правообладателей, которые не отказались от управления правами в их интересах, государство- член предусматривает в своем законодательстве наделение соответствующего государственного органа полномочиями</w:t>
      </w:r>
      <w:r w:rsidR="00843CBB" w:rsidRP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 xml:space="preserve">по осуществлению государственного контроля за деятельностью такой организации (далее </w:t>
      </w:r>
      <w:r w:rsidR="00843CBB">
        <w:rPr>
          <w:sz w:val="24"/>
          <w:szCs w:val="24"/>
        </w:rPr>
        <w:t>-</w:t>
      </w:r>
      <w:r w:rsidRPr="00FA0718">
        <w:rPr>
          <w:sz w:val="24"/>
          <w:szCs w:val="24"/>
        </w:rPr>
        <w:t xml:space="preserve"> уполномоченный орган).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Законодательством государств-членов могут устанавливаться иные случаи осуществления государственного контроля за деятельностью организаций.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Уполномоченные органы государств-членов взаимодействуют между собой, в том числе предоставляют друг другу необходимую информацию о деятельности организаций.</w:t>
      </w:r>
    </w:p>
    <w:p w:rsidR="00843CBB" w:rsidRDefault="00843CBB" w:rsidP="00FA0718">
      <w:pPr>
        <w:pStyle w:val="Bodytext20"/>
        <w:shd w:val="clear" w:color="auto" w:fill="auto"/>
        <w:spacing w:line="240" w:lineRule="auto"/>
        <w:rPr>
          <w:sz w:val="24"/>
          <w:szCs w:val="24"/>
          <w:lang w:val="en-US"/>
        </w:rPr>
      </w:pPr>
    </w:p>
    <w:p w:rsidR="00EB4BE7" w:rsidRPr="00FA0718" w:rsidRDefault="00C96640" w:rsidP="00FA0718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  <w:r w:rsidRPr="00FA0718">
        <w:rPr>
          <w:sz w:val="24"/>
          <w:szCs w:val="24"/>
        </w:rPr>
        <w:t>Статья 2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1.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Деятельность организаций на территориях государств-членов должна осуществляться в соответствии с принципами открытости, прозрачности, подотчетности, подконтрольности, справедливости (недискриминации).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2.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Организационно-правовая форма и правовой статус организации, особенности наделения ее соответствующими полномочиями, функции организации, права и обязанности ее членов, а также порядок решения иных вопросов, не урегулированных настоящим Соглашением, определяются законодательством государств-членов.</w:t>
      </w:r>
    </w:p>
    <w:p w:rsidR="00843CBB" w:rsidRPr="00843CBB" w:rsidRDefault="00843CBB" w:rsidP="00FA0718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</w:p>
    <w:p w:rsidR="00EB4BE7" w:rsidRPr="00FA0718" w:rsidRDefault="00C96640" w:rsidP="00FA0718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  <w:r w:rsidRPr="00FA0718">
        <w:rPr>
          <w:sz w:val="24"/>
          <w:szCs w:val="24"/>
        </w:rPr>
        <w:t>Статья 3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1.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Организация заключает с пользователями договоры на условиях простой (неисключительной) лицензии в отношении авторских и (или) смежных прав, находящихся в управлении такой организации, на соответствующие способы использования объектов авторских и (или) смежных прав и собирает с таких пользователей вознаграждение за предоставление права использования таких объектов.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В случаях, когда использование объектов авторских и (или) смежных прав в соответствии с законодательством государств-членов допускается без согласия правообладателей, но с выплатой им вознаграждения, организация заключает с пользователями или иными лицами, на которых законодательством государств-членов возлагается обязанность по уплате средств для выплаты вознаграждения, договоры о выплате вознаграждения и собирает средства для выплаты вознаграждения правообладателям.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lastRenderedPageBreak/>
        <w:t>Организация может отказать в заключении договора пользователю или иным лицам, на которых законодательством государства-члена возлагается обязанность по уплате средств для выплаты вознаграждения, в том числе в случае неисполнения или ненадлежащего исполнения указанными лицами договора, ранее заключенного с организацией.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Такой отказ должен быть мотивированным и может быть обжалован в суд в порядке, предусмотренном законодательством государства-члена.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2.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Организация производит распределение собранного за использование объектов авторских и (или) смежных прав вознаграждения между правообладателями и осуществляет выплату им указанного вознаграждения.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Распределение собранного вознаграждения осуществляется не реже 1 раза в год пропорционально фактическому использованию соответствующих объектов авторских и (или) смежных прав, определяемому на основе документов и сведений, получаемых организацией от пользователей, а также иных данных</w:t>
      </w:r>
      <w:r w:rsidR="00843CBB" w:rsidRP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об использовании объектов авторских и (или) смежных прав, в том числе сведений статистического характера.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Пользователи обязаны представлять организации отчеты об использовании объектов авторских и (или) смежных прав, а также иные сведения и документы, необходимые для сбора и распределения вознаграждения. Перечень и сроки представления документов и сведений определяются в договорах, заключаемых организацией с пользователями.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Выплата вознаграждения правообладателям должна производиться организацией регулярно, не реже 1 раза в год. Данные выплаты должны производиться не позднее 12 месяцев после окончания отчетного года.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Периодичность перечисления собранного вознаграждения иностранным авторам или правообладателям устанавливается в договорах о представительстве интересов, заключаемых с иностранными организациями по коллективному управлению правами, но не может быть реже 1 раза в год.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3.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Организация вправе удерживать из собранного вознаграждения суммы на покрытие своих расходов по осуществлению коллективного управления правами (далее - расходы организации).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Расходы организации должны быть обоснованы и документально подтверждены.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Государство-член может установить в своем законодательстве возможность удержания организацией дополнительных средств, направляемых с согласия и в интересах представляемых</w:t>
      </w:r>
      <w:r w:rsidR="00843CBB" w:rsidRP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 xml:space="preserve">ею правообладателей на социальные, культурные и образовательные цели (далее </w:t>
      </w:r>
      <w:r w:rsidR="00843CBB">
        <w:rPr>
          <w:sz w:val="24"/>
          <w:szCs w:val="24"/>
        </w:rPr>
        <w:t>-</w:t>
      </w:r>
      <w:r w:rsidRPr="00FA0718">
        <w:rPr>
          <w:sz w:val="24"/>
          <w:szCs w:val="24"/>
        </w:rPr>
        <w:t xml:space="preserve"> специальные средства).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Правовой режим в отношении специальных средств устанавливается законодательством государств-членов.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 xml:space="preserve">Организация не имеет права удерживать более 50 процентов от суммы </w:t>
      </w:r>
      <w:r w:rsidRPr="00FA0718">
        <w:rPr>
          <w:sz w:val="24"/>
          <w:szCs w:val="24"/>
        </w:rPr>
        <w:lastRenderedPageBreak/>
        <w:t>собранного вознаграждения на расходы организации и специальные средства.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Такие удержания должны производиться пропорционально от каждой суммы, причитающейся каждому правообладателю. Законодательством государств-членов может быть установлен меньший предельный общий размер таких удержаний.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Одновременно с выплатой вознаграждения организация обязана представить правообладателю отчет об использовании его прав и о размере собранного за такое использование вознаграждения с детализацией удержанных организацией сумм, в том числе специальных средств.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4.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В случае если вознаграждение, причитающееся правообладателю, не может быть выплачено в установленный абзацем четвертым пункта 2 настоящей статьи срок, организация обязана в течение 12 месяцев с даты окончания такого срока предпринять все необходимые меры для установления и обнаружения такого правообладателя.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Государства-члены устанавливают в своем законодательстве порядок хранения организацией невыплаченных денежных средств, а также использования сумм невостребованного вознаграждения по истечении общего срока исковой давности.</w:t>
      </w:r>
    </w:p>
    <w:p w:rsidR="00EB4BE7" w:rsidRDefault="00EB4BE7" w:rsidP="00843CBB">
      <w:pPr>
        <w:spacing w:after="120"/>
        <w:ind w:firstLine="567"/>
        <w:jc w:val="both"/>
        <w:rPr>
          <w:lang w:val="en-US"/>
        </w:rPr>
      </w:pPr>
    </w:p>
    <w:p w:rsidR="00EB4BE7" w:rsidRPr="00FA0718" w:rsidRDefault="00C96640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</w:rPr>
      </w:pPr>
      <w:r w:rsidRPr="00FA0718">
        <w:rPr>
          <w:sz w:val="24"/>
          <w:szCs w:val="24"/>
        </w:rPr>
        <w:t>Статья 4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1.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Организация, в частности, обязана: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1)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создать (определить) официальный сайт в информационно</w:t>
      </w:r>
      <w:r w:rsidR="00843CBB" w:rsidRPr="00843CBB">
        <w:rPr>
          <w:sz w:val="24"/>
          <w:szCs w:val="24"/>
        </w:rPr>
        <w:t>-</w:t>
      </w:r>
      <w:r w:rsidRPr="00FA0718">
        <w:rPr>
          <w:sz w:val="24"/>
          <w:szCs w:val="24"/>
        </w:rPr>
        <w:t>телекоммуникационной сети «Интернет» для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размещения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(опубликования) информации о своей деятельности (далее - официальный сайт);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2)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обеспечить доступность официального сайта в круглосуточном режиме, открытость информации, размещаемой на официальном сайте, а также предоставление такой информации на безвозмездной основе;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3)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формировать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реестры, содержащие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сведения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 xml:space="preserve">о правообладателях, объектах авторских и (или) смежных прав и правах, переданных такой организации в управление (далее </w:t>
      </w:r>
      <w:r w:rsidR="00843CBB">
        <w:rPr>
          <w:sz w:val="24"/>
          <w:szCs w:val="24"/>
        </w:rPr>
        <w:t>-</w:t>
      </w:r>
      <w:r w:rsidRPr="00FA0718">
        <w:rPr>
          <w:sz w:val="24"/>
          <w:szCs w:val="24"/>
        </w:rPr>
        <w:t xml:space="preserve"> реестры), за исключением сведений, которые в соответствии с законодательством государств-членов не могут разглашаться без согласия правообладателя;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4)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разместить реестры на официальном сайте, а также осуществлять их ведение и своевременную актуализацию в целях заключения договоров с пользователями и выплаты вознаграждения;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5)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внедрить процедуры, позволяющие другим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организациям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по коллективному управлению правами, а также правообладателям, в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интересах которых организация заключает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договоры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с пользователями, уведомлять о любых неточностях, содержащихся в реестрах и касающихся прав, которыми она управляет.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2.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Организация не имеет права использовать объекты авторских и (или) смежных прав, имущественные права на которые переданы ей в управление.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lastRenderedPageBreak/>
        <w:t>3.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Организация вправе от имени правообладателя или от своего имени предъявлять требования в суде, а также совершать иные юридические действия для защиты прав, переданных ей в управление в соответствии с законодательством государства-члена.</w:t>
      </w:r>
    </w:p>
    <w:p w:rsidR="00843CBB" w:rsidRPr="00843CBB" w:rsidRDefault="00843CBB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EB4BE7" w:rsidRPr="00FA0718" w:rsidRDefault="00C96640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</w:rPr>
      </w:pPr>
      <w:r w:rsidRPr="00FA0718">
        <w:rPr>
          <w:sz w:val="24"/>
          <w:szCs w:val="24"/>
        </w:rPr>
        <w:t>Статья 5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1.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Организация обязана привлекать независимого аудитора для проверки и подтверждения достоверности ее бухгалтерской (финансовой) отчетности, в том числе в части ведения и документального оформления операций с денежными средствами при осуществлении сбора, распределения и выплаты вознаграждения и установления соответствия распределения собранного вознаграждения требованиям, предусмотренным утвержденной организацией методикой, учета целевых поступлений и выплат, произведенных за счет специальных средств, а также соблюдения иных требований, предъявляемых к деятельности такой организации и установленных статьей 3 настоящего Соглашения (далее - обязательный аудит).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Периодичность проведения обязательного аудита устанавливается законодательством государств-членов, но не может быть реже 1 раза в 2 года.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2.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Организация обязана опубликовать аудиторское заключение вместе с соответствующей бухгалтерской (финансовой) отчетностью на официальном сайте в месячный срок с даты утверждения (подписания) аудиторского заключения, которое должно находиться в открытом доступе для правообладателей в течение 5 лет.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Бухгалтерская (финансовая) отчетность и иная информация, подлежащая обязательному аудиту согласно настоящей статье,</w:t>
      </w:r>
      <w:r w:rsidR="00843CBB" w:rsidRP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не могут быть отнесены к информации, содержащей сведения конфиденциального характера, коммерческой или иной охраняемой законом тайны.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3.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Расходы на проведение обязательного аудита включаются в состав расходов организации.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4.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В государствах-членах, где функции и обязанности организаций по коллективному управлению авторскими и (или) смежными правами осуществляются государственным органом (государственной организацией), обязательный аудит проводится в соответствии с законодательством государств-членов с учетом положений настоящей статьи.</w:t>
      </w:r>
    </w:p>
    <w:p w:rsidR="00843CBB" w:rsidRPr="00843CBB" w:rsidRDefault="00843CBB" w:rsidP="00FA0718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</w:p>
    <w:p w:rsidR="00EB4BE7" w:rsidRPr="00FA0718" w:rsidRDefault="00C96640" w:rsidP="00FA0718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  <w:r w:rsidRPr="00FA0718">
        <w:rPr>
          <w:sz w:val="24"/>
          <w:szCs w:val="24"/>
        </w:rPr>
        <w:t>Статья 6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1. Государства-члены устанавливают в своем законодательстве ответственность за: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1)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 xml:space="preserve">использование объектов авторских и (или) смежных прав без согласия правообладателя либо организации, управляющей его соответствующими правами, а равно без выплаты вознаграждения (и за уклонение от уплаты средств для выплаты </w:t>
      </w:r>
      <w:r w:rsidRPr="00FA0718">
        <w:rPr>
          <w:sz w:val="24"/>
          <w:szCs w:val="24"/>
        </w:rPr>
        <w:lastRenderedPageBreak/>
        <w:t>вознаграждения), за исключением случаев, предусмотренных законодательством государств-членов;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2)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невыплату организацией правообладателю собранного вознаграждения вследствие нарушения этой организацией порядка управления правами;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3)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превышение предельного размера удержаний из суммы собранного вознаграждения на расходы организации и специальные средства, установленного законодательством государств-членов;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4)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неисполнение обязательства по проведению обязательного аудита, установленного статьей 5 настоящего Соглашения.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Государства-члены могут устанавливать иные случаи ответственности организаций.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2. Государства-члены принимают необходимые меры по гармонизации норм законодательства, предусматривающих ответственность за действия, указанные в пункте 1 настоящей статьи.</w:t>
      </w:r>
    </w:p>
    <w:p w:rsidR="00843CBB" w:rsidRDefault="00843CBB" w:rsidP="00FA0718">
      <w:pPr>
        <w:pStyle w:val="Bodytext20"/>
        <w:shd w:val="clear" w:color="auto" w:fill="auto"/>
        <w:spacing w:line="240" w:lineRule="auto"/>
        <w:rPr>
          <w:sz w:val="24"/>
          <w:szCs w:val="24"/>
          <w:lang w:val="en-US"/>
        </w:rPr>
      </w:pPr>
    </w:p>
    <w:p w:rsidR="00EB4BE7" w:rsidRPr="00FA0718" w:rsidRDefault="00C96640" w:rsidP="00FA0718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  <w:r w:rsidRPr="00FA0718">
        <w:rPr>
          <w:sz w:val="24"/>
          <w:szCs w:val="24"/>
        </w:rPr>
        <w:t>Статья 7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Организация при взаимодействии с правообладателями исходит из следующих принципов: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1)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правообладатели имеют право в любой момент полностью или частично отказаться от управления организацией их правами;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2)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правообладатели имеют право принимать участие в деятельности органов управления организации в порядке, определенном уставом такой организации, если такое право установлено законодательством государства-члена;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3)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распределение и выплата вознаграждения должны осуществляться справедливо, без дискриминации по признаку гражданства, страны проживания, категории правообладателя или иным основаниям;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4)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организация должна предпринимать все необходимые меры для выплаты вознаграждения регулярно в соответствии с абзацем четвертым пункта 2 статьи 3 настоящего Соглашения;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5)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организация должна регулярно отчитываться перед правообладателями, в интересах которых она заключила договоры с пользователями, обо всех собранных и распределенных суммах</w:t>
      </w:r>
      <w:r w:rsidR="00843CBB" w:rsidRP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вознаграждения, любых отчислениях из указанных сумм, а также методике их распределения, включая сведения статистического характера.</w:t>
      </w:r>
    </w:p>
    <w:p w:rsidR="00843CBB" w:rsidRPr="00843CBB" w:rsidRDefault="00843CBB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EB4BE7" w:rsidRPr="00FA0718" w:rsidRDefault="00C96640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</w:rPr>
      </w:pPr>
      <w:r w:rsidRPr="00FA0718">
        <w:rPr>
          <w:sz w:val="24"/>
          <w:szCs w:val="24"/>
        </w:rPr>
        <w:t>Статья 8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1.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По правоотношениям, возникшим до вступления настоящего Соглашения в силу, его положения применяются к тем правам и обязанностям, которые возникнут после вступления настоящего Соглашения в силу.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lastRenderedPageBreak/>
        <w:t>2.</w:t>
      </w:r>
      <w:r w:rsid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Управление авторскими и (или) смежными правами на коллективной основе, осуществляемое на день вступления настоящего Соглашения в силу, продолжает осуществляться в части, не противоречащей настоящему Соглашению.</w:t>
      </w:r>
    </w:p>
    <w:p w:rsidR="00843CBB" w:rsidRPr="00843CBB" w:rsidRDefault="00843CBB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EB4BE7" w:rsidRPr="00FA0718" w:rsidRDefault="00C96640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</w:rPr>
      </w:pPr>
      <w:r w:rsidRPr="00FA0718">
        <w:rPr>
          <w:sz w:val="24"/>
          <w:szCs w:val="24"/>
        </w:rPr>
        <w:t>Статья 9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 w:rsidR="00843CBB" w:rsidRDefault="00843CBB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  <w:lang w:val="en-US"/>
        </w:rPr>
      </w:pPr>
    </w:p>
    <w:p w:rsidR="00EB4BE7" w:rsidRPr="00FA0718" w:rsidRDefault="00C96640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</w:rPr>
      </w:pPr>
      <w:r w:rsidRPr="00FA0718">
        <w:rPr>
          <w:sz w:val="24"/>
          <w:szCs w:val="24"/>
        </w:rPr>
        <w:t>Статья 10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Споры, связанные с толкованием и (или) применением настоящего Соглашения, разрешаются в соответствии с Договором о Евразийском экономическом союзе от 29 мая 2014 года.</w:t>
      </w:r>
    </w:p>
    <w:p w:rsidR="00843CBB" w:rsidRDefault="00843CBB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  <w:lang w:val="en-US"/>
        </w:rPr>
      </w:pPr>
    </w:p>
    <w:p w:rsidR="00EB4BE7" w:rsidRPr="00FA0718" w:rsidRDefault="00C96640" w:rsidP="00FA0718">
      <w:pPr>
        <w:pStyle w:val="Bodytext20"/>
        <w:shd w:val="clear" w:color="auto" w:fill="auto"/>
        <w:spacing w:line="240" w:lineRule="auto"/>
        <w:ind w:left="20"/>
        <w:rPr>
          <w:sz w:val="24"/>
          <w:szCs w:val="24"/>
        </w:rPr>
      </w:pPr>
      <w:r w:rsidRPr="00FA0718">
        <w:rPr>
          <w:sz w:val="24"/>
          <w:szCs w:val="24"/>
        </w:rPr>
        <w:t>Статья 11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1. Настоящее Соглашение является международным договором, заключенным в рамках Евразийского экономического союза, и входит</w:t>
      </w:r>
      <w:r w:rsidR="00843CBB" w:rsidRPr="00843CBB">
        <w:rPr>
          <w:sz w:val="24"/>
          <w:szCs w:val="24"/>
        </w:rPr>
        <w:t xml:space="preserve"> </w:t>
      </w:r>
      <w:r w:rsidRPr="00FA0718">
        <w:rPr>
          <w:sz w:val="24"/>
          <w:szCs w:val="24"/>
        </w:rPr>
        <w:t>в право Евразийского экономического союза.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2.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Государства-члены информируют Евразийскую экономическую комиссию по дипломатическим каналам о государственных органах, ответственных за реализацию настоящего Соглашения.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Совершено в городе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__________</w:t>
      </w:r>
      <w:r w:rsidRPr="00FA0718">
        <w:rPr>
          <w:sz w:val="24"/>
          <w:szCs w:val="24"/>
          <w:lang w:eastAsia="en-US" w:bidi="en-US"/>
        </w:rPr>
        <w:t xml:space="preserve"> </w:t>
      </w:r>
      <w:r w:rsidRPr="00FA0718">
        <w:rPr>
          <w:sz w:val="24"/>
          <w:szCs w:val="24"/>
        </w:rPr>
        <w:t>«</w:t>
      </w:r>
      <w:r w:rsidRPr="00FA0718">
        <w:rPr>
          <w:sz w:val="24"/>
          <w:szCs w:val="24"/>
          <w:lang w:eastAsia="en-US" w:bidi="en-US"/>
        </w:rPr>
        <w:t xml:space="preserve"> _____ </w:t>
      </w:r>
      <w:r w:rsidRPr="00FA0718">
        <w:rPr>
          <w:sz w:val="24"/>
          <w:szCs w:val="24"/>
        </w:rPr>
        <w:t>»____________20____года</w:t>
      </w:r>
    </w:p>
    <w:p w:rsidR="00EB4BE7" w:rsidRPr="00FA0718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A0718">
        <w:rPr>
          <w:sz w:val="24"/>
          <w:szCs w:val="24"/>
        </w:rPr>
        <w:t>в одном подлинном экземпляре на русском языке.</w:t>
      </w:r>
    </w:p>
    <w:p w:rsidR="00EB4BE7" w:rsidRDefault="00C96640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en-US"/>
        </w:rPr>
      </w:pPr>
      <w:r w:rsidRPr="00FA0718">
        <w:rPr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843CBB" w:rsidRPr="00843CBB" w:rsidRDefault="00843CBB" w:rsidP="00843CBB">
      <w:pPr>
        <w:pStyle w:val="Bodytext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2023"/>
        <w:gridCol w:w="2102"/>
        <w:gridCol w:w="2322"/>
        <w:gridCol w:w="2045"/>
      </w:tblGrid>
      <w:tr w:rsidR="00EB4BE7" w:rsidRPr="00FA0718" w:rsidTr="00FA0718">
        <w:tc>
          <w:tcPr>
            <w:tcW w:w="1865" w:type="dxa"/>
            <w:shd w:val="clear" w:color="auto" w:fill="FFFFFF"/>
            <w:vAlign w:val="bottom"/>
          </w:tcPr>
          <w:p w:rsidR="00EB4BE7" w:rsidRPr="00FA0718" w:rsidRDefault="00C96640" w:rsidP="00843CBB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718">
              <w:rPr>
                <w:rStyle w:val="Bodytext215pt0"/>
                <w:sz w:val="24"/>
                <w:szCs w:val="24"/>
              </w:rPr>
              <w:t>За</w:t>
            </w:r>
            <w:r w:rsidR="00843CBB">
              <w:rPr>
                <w:rStyle w:val="Bodytext215pt0"/>
                <w:sz w:val="24"/>
                <w:szCs w:val="24"/>
                <w:lang w:val="en-US"/>
              </w:rPr>
              <w:t xml:space="preserve"> </w:t>
            </w:r>
            <w:r w:rsidRPr="00FA0718">
              <w:rPr>
                <w:rStyle w:val="Bodytext215pt0"/>
                <w:sz w:val="24"/>
                <w:szCs w:val="24"/>
              </w:rPr>
              <w:t>Республику</w:t>
            </w:r>
            <w:r w:rsidR="00843CBB">
              <w:rPr>
                <w:rStyle w:val="Bodytext215pt0"/>
                <w:sz w:val="24"/>
                <w:szCs w:val="24"/>
                <w:lang w:val="en-US"/>
              </w:rPr>
              <w:t xml:space="preserve"> </w:t>
            </w:r>
            <w:r w:rsidRPr="00FA0718">
              <w:rPr>
                <w:rStyle w:val="Bodytext215pt0"/>
                <w:sz w:val="24"/>
                <w:szCs w:val="24"/>
              </w:rPr>
              <w:t>Армения</w:t>
            </w:r>
          </w:p>
        </w:tc>
        <w:tc>
          <w:tcPr>
            <w:tcW w:w="2023" w:type="dxa"/>
            <w:shd w:val="clear" w:color="auto" w:fill="FFFFFF"/>
            <w:vAlign w:val="bottom"/>
          </w:tcPr>
          <w:p w:rsidR="00EB4BE7" w:rsidRPr="00FA0718" w:rsidRDefault="00C96640" w:rsidP="00843CBB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718">
              <w:rPr>
                <w:rStyle w:val="Bodytext215pt0"/>
                <w:sz w:val="24"/>
                <w:szCs w:val="24"/>
              </w:rPr>
              <w:t>За</w:t>
            </w:r>
            <w:r w:rsidR="00843CBB">
              <w:rPr>
                <w:rStyle w:val="Bodytext215pt0"/>
                <w:sz w:val="24"/>
                <w:szCs w:val="24"/>
                <w:lang w:val="en-US"/>
              </w:rPr>
              <w:t xml:space="preserve"> </w:t>
            </w:r>
            <w:r w:rsidRPr="00FA0718">
              <w:rPr>
                <w:rStyle w:val="Bodytext215pt0"/>
                <w:sz w:val="24"/>
                <w:szCs w:val="24"/>
              </w:rPr>
              <w:t>Республику</w:t>
            </w:r>
            <w:r w:rsidR="00843CBB">
              <w:rPr>
                <w:rStyle w:val="Bodytext215pt0"/>
                <w:sz w:val="24"/>
                <w:szCs w:val="24"/>
                <w:lang w:val="en-US"/>
              </w:rPr>
              <w:t xml:space="preserve"> </w:t>
            </w:r>
            <w:r w:rsidRPr="00FA0718">
              <w:rPr>
                <w:rStyle w:val="Bodytext215pt0"/>
                <w:sz w:val="24"/>
                <w:szCs w:val="24"/>
              </w:rPr>
              <w:t>Беларусь</w:t>
            </w:r>
          </w:p>
        </w:tc>
        <w:tc>
          <w:tcPr>
            <w:tcW w:w="2102" w:type="dxa"/>
            <w:shd w:val="clear" w:color="auto" w:fill="FFFFFF"/>
            <w:vAlign w:val="bottom"/>
          </w:tcPr>
          <w:p w:rsidR="00EB4BE7" w:rsidRPr="00FA0718" w:rsidRDefault="00C96640" w:rsidP="00843CBB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718">
              <w:rPr>
                <w:rStyle w:val="Bodytext215pt0"/>
                <w:sz w:val="24"/>
                <w:szCs w:val="24"/>
              </w:rPr>
              <w:t>За</w:t>
            </w:r>
            <w:r w:rsidR="00843CBB">
              <w:rPr>
                <w:rStyle w:val="Bodytext215pt0"/>
                <w:sz w:val="24"/>
                <w:szCs w:val="24"/>
                <w:lang w:val="en-US"/>
              </w:rPr>
              <w:t xml:space="preserve"> </w:t>
            </w:r>
            <w:r w:rsidRPr="00FA0718">
              <w:rPr>
                <w:rStyle w:val="Bodytext215pt0"/>
                <w:sz w:val="24"/>
                <w:szCs w:val="24"/>
              </w:rPr>
              <w:t>Республику</w:t>
            </w:r>
            <w:r w:rsidR="00843CBB">
              <w:rPr>
                <w:rStyle w:val="Bodytext215pt0"/>
                <w:sz w:val="24"/>
                <w:szCs w:val="24"/>
                <w:lang w:val="en-US"/>
              </w:rPr>
              <w:t xml:space="preserve"> </w:t>
            </w:r>
            <w:r w:rsidRPr="00FA0718">
              <w:rPr>
                <w:rStyle w:val="Bodytext215pt0"/>
                <w:sz w:val="24"/>
                <w:szCs w:val="24"/>
              </w:rPr>
              <w:t>Казахстан</w:t>
            </w:r>
          </w:p>
        </w:tc>
        <w:tc>
          <w:tcPr>
            <w:tcW w:w="2322" w:type="dxa"/>
            <w:shd w:val="clear" w:color="auto" w:fill="FFFFFF"/>
            <w:vAlign w:val="bottom"/>
          </w:tcPr>
          <w:p w:rsidR="00EB4BE7" w:rsidRPr="00FA0718" w:rsidRDefault="00C96640" w:rsidP="00843CBB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718">
              <w:rPr>
                <w:rStyle w:val="Bodytext215pt0"/>
                <w:sz w:val="24"/>
                <w:szCs w:val="24"/>
              </w:rPr>
              <w:t>За</w:t>
            </w:r>
            <w:r w:rsidR="00843CBB">
              <w:rPr>
                <w:rStyle w:val="Bodytext215pt0"/>
                <w:sz w:val="24"/>
                <w:szCs w:val="24"/>
                <w:lang w:val="en-US"/>
              </w:rPr>
              <w:t xml:space="preserve"> </w:t>
            </w:r>
            <w:r w:rsidRPr="00843CBB">
              <w:rPr>
                <w:rStyle w:val="Bodytext216pt"/>
                <w:b/>
                <w:sz w:val="24"/>
                <w:szCs w:val="24"/>
              </w:rPr>
              <w:t>Кыргызскую</w:t>
            </w:r>
            <w:r w:rsidR="00843CBB">
              <w:rPr>
                <w:rStyle w:val="Bodytext216pt"/>
                <w:b/>
                <w:sz w:val="24"/>
                <w:szCs w:val="24"/>
                <w:lang w:val="en-US"/>
              </w:rPr>
              <w:t xml:space="preserve"> </w:t>
            </w:r>
            <w:r w:rsidRPr="00FA0718">
              <w:rPr>
                <w:rStyle w:val="Bodytext215pt0"/>
                <w:sz w:val="24"/>
                <w:szCs w:val="24"/>
              </w:rPr>
              <w:t>Республику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EB4BE7" w:rsidRPr="00FA0718" w:rsidRDefault="00C96640" w:rsidP="00843CBB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718">
              <w:rPr>
                <w:rStyle w:val="Bodytext215pt0"/>
                <w:sz w:val="24"/>
                <w:szCs w:val="24"/>
              </w:rPr>
              <w:t>За</w:t>
            </w:r>
            <w:r w:rsidR="00843CBB">
              <w:rPr>
                <w:rStyle w:val="Bodytext215pt0"/>
                <w:sz w:val="24"/>
                <w:szCs w:val="24"/>
                <w:lang w:val="en-US"/>
              </w:rPr>
              <w:t xml:space="preserve"> </w:t>
            </w:r>
            <w:r w:rsidRPr="00FA0718">
              <w:rPr>
                <w:rStyle w:val="Bodytext215pt0"/>
                <w:sz w:val="24"/>
                <w:szCs w:val="24"/>
              </w:rPr>
              <w:t>Российскую</w:t>
            </w:r>
            <w:r w:rsidR="00843CBB">
              <w:rPr>
                <w:rStyle w:val="Bodytext215pt0"/>
                <w:sz w:val="24"/>
                <w:szCs w:val="24"/>
                <w:lang w:val="en-US"/>
              </w:rPr>
              <w:t xml:space="preserve"> </w:t>
            </w:r>
            <w:r w:rsidRPr="00FA0718">
              <w:rPr>
                <w:rStyle w:val="Bodytext215pt0"/>
                <w:sz w:val="24"/>
                <w:szCs w:val="24"/>
              </w:rPr>
              <w:t>Федерацию</w:t>
            </w:r>
          </w:p>
        </w:tc>
      </w:tr>
    </w:tbl>
    <w:p w:rsidR="00EB4BE7" w:rsidRPr="00FA0718" w:rsidRDefault="00EB4BE7" w:rsidP="00FA0718">
      <w:pPr>
        <w:spacing w:after="120"/>
      </w:pPr>
    </w:p>
    <w:sectPr w:rsidR="00EB4BE7" w:rsidRPr="00FA0718" w:rsidSect="00FA071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3DD" w:rsidRDefault="005303DD" w:rsidP="00EB4BE7">
      <w:r>
        <w:separator/>
      </w:r>
    </w:p>
  </w:endnote>
  <w:endnote w:type="continuationSeparator" w:id="0">
    <w:p w:rsidR="005303DD" w:rsidRDefault="005303DD" w:rsidP="00EB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3DD" w:rsidRDefault="005303DD"/>
  </w:footnote>
  <w:footnote w:type="continuationSeparator" w:id="0">
    <w:p w:rsidR="005303DD" w:rsidRDefault="005303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B4BE7"/>
    <w:rsid w:val="002123C4"/>
    <w:rsid w:val="005303DD"/>
    <w:rsid w:val="00843CBB"/>
    <w:rsid w:val="00C96640"/>
    <w:rsid w:val="00EB4BE7"/>
    <w:rsid w:val="00FA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4BE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4BE7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rsid w:val="00EB4BE7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mallCaps">
    <w:name w:val="Body text (2) + Small Caps"/>
    <w:basedOn w:val="Bodytext2"/>
    <w:rsid w:val="00EB4BE7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EB4BE7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EB4BE7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EB4BE7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EB4BE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EB4BE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basedOn w:val="Bodytext2"/>
    <w:rsid w:val="00EB4BE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EB4BE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EB4BE7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">
    <w:name w:val="Body text (3)"/>
    <w:basedOn w:val="Bodytext3"/>
    <w:rsid w:val="00EB4BE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,Body text (2) + 12 pt,Spacing 3 pt"/>
    <w:basedOn w:val="Bodytext2"/>
    <w:rsid w:val="00EB4BE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6pt">
    <w:name w:val="Body text (2) + 16 pt"/>
    <w:basedOn w:val="Bodytext2"/>
    <w:rsid w:val="00EB4BE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EB4BE7"/>
    <w:pPr>
      <w:shd w:val="clear" w:color="auto" w:fill="FFFFFF"/>
      <w:spacing w:after="120" w:line="0" w:lineRule="atLeast"/>
      <w:jc w:val="center"/>
    </w:pPr>
    <w:rPr>
      <w:sz w:val="28"/>
      <w:szCs w:val="28"/>
    </w:rPr>
  </w:style>
  <w:style w:type="paragraph" w:customStyle="1" w:styleId="Heading10">
    <w:name w:val="Heading #1"/>
    <w:basedOn w:val="Normal"/>
    <w:link w:val="Heading1"/>
    <w:rsid w:val="00EB4BE7"/>
    <w:pPr>
      <w:shd w:val="clear" w:color="auto" w:fill="FFFFFF"/>
      <w:spacing w:before="120" w:after="840" w:line="0" w:lineRule="atLeast"/>
      <w:jc w:val="center"/>
      <w:outlineLvl w:val="0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EB4BE7"/>
    <w:pPr>
      <w:shd w:val="clear" w:color="auto" w:fill="FFFFFF"/>
      <w:spacing w:before="300" w:after="42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EB4BE7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EB4BE7"/>
    <w:pPr>
      <w:shd w:val="clear" w:color="auto" w:fill="FFFFFF"/>
      <w:spacing w:before="420" w:line="346" w:lineRule="exact"/>
      <w:jc w:val="center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3</cp:revision>
  <dcterms:created xsi:type="dcterms:W3CDTF">2017-02-20T12:50:00Z</dcterms:created>
  <dcterms:modified xsi:type="dcterms:W3CDTF">2017-06-06T12:26:00Z</dcterms:modified>
</cp:coreProperties>
</file>