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83" w:rsidRPr="006C0F7E" w:rsidRDefault="005A4322" w:rsidP="006C0F7E">
      <w:pPr>
        <w:pStyle w:val="Picturecaption0"/>
        <w:shd w:val="clear" w:color="auto" w:fill="auto"/>
        <w:spacing w:after="120" w:line="240" w:lineRule="auto"/>
        <w:ind w:left="4536" w:right="-8"/>
        <w:jc w:val="center"/>
        <w:rPr>
          <w:rFonts w:ascii="Sylfaen" w:hAnsi="Sylfaen"/>
          <w:b w:val="0"/>
          <w:sz w:val="24"/>
          <w:szCs w:val="24"/>
        </w:rPr>
      </w:pPr>
      <w:bookmarkStart w:id="0" w:name="_GoBack"/>
      <w:bookmarkEnd w:id="0"/>
      <w:r w:rsidRPr="006C0F7E">
        <w:rPr>
          <w:rFonts w:ascii="Sylfaen" w:hAnsi="Sylfaen"/>
          <w:b w:val="0"/>
          <w:sz w:val="24"/>
          <w:szCs w:val="24"/>
        </w:rPr>
        <w:t>УТВЕРЖДЕН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Решением Совета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от 12 февраля 2016 г. № 30</w:t>
      </w:r>
    </w:p>
    <w:p w:rsidR="006C0F7E" w:rsidRDefault="006C0F7E" w:rsidP="006C0F7E">
      <w:pPr>
        <w:pStyle w:val="Bodytext30"/>
        <w:shd w:val="clear" w:color="auto" w:fill="auto"/>
        <w:spacing w:before="0" w:line="240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hy-AM"/>
        </w:rPr>
      </w:pPr>
    </w:p>
    <w:p w:rsidR="00727983" w:rsidRPr="006C0F7E" w:rsidRDefault="005A4322" w:rsidP="006C0F7E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</w:rPr>
      </w:pPr>
      <w:r w:rsidRPr="006C0F7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727983" w:rsidRDefault="005A4322" w:rsidP="006C0F7E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hy-AM"/>
        </w:rPr>
      </w:pPr>
      <w:r w:rsidRPr="006C0F7E">
        <w:rPr>
          <w:rFonts w:ascii="Sylfaen" w:hAnsi="Sylfaen"/>
          <w:sz w:val="24"/>
          <w:szCs w:val="24"/>
        </w:rPr>
        <w:t>формирования и ведения информационной системы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в сфере обращения медицинских изделий</w:t>
      </w:r>
    </w:p>
    <w:p w:rsidR="006C0F7E" w:rsidRPr="006C0F7E" w:rsidRDefault="006C0F7E" w:rsidP="006C0F7E">
      <w:pPr>
        <w:pStyle w:val="Bodytext30"/>
        <w:shd w:val="clear" w:color="auto" w:fill="auto"/>
        <w:spacing w:before="0" w:line="240" w:lineRule="auto"/>
        <w:ind w:left="1134" w:right="1126"/>
        <w:rPr>
          <w:rFonts w:ascii="Sylfaen" w:hAnsi="Sylfaen"/>
          <w:sz w:val="24"/>
          <w:szCs w:val="24"/>
          <w:lang w:val="hy-AM"/>
        </w:rPr>
      </w:pP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Общие положения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Настоящий Порядок разработан в соответствии с пунктом 2 статьи 31 Договора о Евразийском экономическом союзе от 29 мая 2014 года и статьей 9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Информационная система в сфере обращения медицинских изделий (далее - информационная система) предназначена для создания условий по обеспечению обращения в рамках Евразийского экономического союза (далее - Союз) безопасных, качественных и эффективных медицинских изделий.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Информационная система является частью интегрированной информационной системы Союза (далее - интегрированная система) и включает в себя следующие информационные ресурсы: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единый реестр медицинских изделий, зарегистрированных в рамках Союза;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б)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единый реестр уполномоченных организаций, имеющих право проводить исследования (испытания) медицинских изделий в целях их регистрации;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единая информационная база данных мониторинга безопасности, качества и эффективности медицинских изделий.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Общие информационные ресурсы информационной системы формируются на основе информационного взаимодействия государств - членов Союза и Евразийской экономической комиссии (далее соответственно - государства-члены, Комиссия).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Для целей настоящего Порядка используются понятия, которые означают следующее: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«референтное государство» - выбранное заявителем государство- член, уполномоченный орган которого осуществляет регистрацию медицинского изделия;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 xml:space="preserve">«уполномоченный орган» - орган государственной власти государства-члена, уполномоченный на осуществление и (или) координацию деятельности в сфере </w:t>
      </w:r>
      <w:r w:rsidRPr="006C0F7E">
        <w:rPr>
          <w:rFonts w:ascii="Sylfaen" w:hAnsi="Sylfaen"/>
          <w:sz w:val="24"/>
          <w:szCs w:val="24"/>
        </w:rPr>
        <w:lastRenderedPageBreak/>
        <w:t>обращения медицинских изделий на территории этого государства-члена;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«экспертная организация» - юридическое лицо государства-члена, которому уполномоченным органом делегированы отдельные функции в сфере обращения медицинских изделий, а также предоставлено право на получение доступа к сведениям, содержащимся в информационной системе.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Уполномоченный орган с использованием средств интегрированной системы: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представляет в Комиссию сведения, необходимые для формирования и ведения информационной системы;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б)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поддерживает в актуальном состоянии информацию, переданную им для внесения в общие информационные ресурсы информационной системы;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осуществляет информационное взаимодействие с уполномоченными органами других заинтересованных государств- членов по вопросам осуществления процедур, установленных Правилами регистрации и экспертизы безопасности, качества и эффективности медицинских изделий (далее - Правила регистрации медицинских изделий).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Комиссия осуществляет публикацию сведений открытой части информационной системы на информационном портале Союза в информационно-телекоммуникационной сети «Интернет» (далее соответственно - информационный портал Союза, сеть Интернет).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 (экспертными организациями), а также между уполномоченными органами (экспертными организациями) и Комиссией в процессе формирования, ведения и использования общих информационных ресурсов осуществляется путем реализации общих процессов в рамках Союза средствами интегрированной системы.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Технологические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документы,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регламентирующие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информационное взаимодействие, реализуемое в рамках общих процессов средствами интегрированной системы, включая требования к форматам и структурам используемых при таком взаимодействии электронных документов и сведений, разрабатываются и утверждаются Комиссией.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Доступ к подлежащим опубликованию сведениям общих информационных ресурсов для заинтересованных лиц осуществляется через информационный портал Союза на безвозмездной основе.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Интегрированная система для информационного взаимодействия с уполномоченными органами (экспертными организациями) других государств-членов и Комиссией используется уполномоченным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органом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(экспертной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организацией)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в следующих целях: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получение и передача информации о фактах и обстоятельствах, создающих угрозу жизни или здоровью людей при применении медицинского изделия;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lastRenderedPageBreak/>
        <w:t>б)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выявление в ходе реализации мероприятий по контролю за обращением медицинских изделий и проведения мониторинга безопасности, качества и эффективности медицинских изделий несоответствия медицинских изделий общим требованиям безопасности и эффективности медицинских изделий, необоснованного использования каким-либо производителем или его уполномоченным представителем маркировки медицинского изделия специальным знаком обращения медицинских изделий на рынке Союза, а также выявление фактов обращения на территории государства-члена недоброкачественных, контрафактных или фальсифицированных медицинских изделий;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реализация мер по приостановлению и (или) запрету применения (изъятию из обращения) медицинского изделия либо мер по уведомлению производителя медицинского изделия или его уполномоченного представителя о необходимости проведения дополнительной экспертизы медицинского изделия;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г)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возбуждения процедуры отмены действия (аннулирования, отзыва) регистрационного удостоверения медицинского изделия;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д)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иные случаи, связанные с регулированием обращения медицинских изделий в рамках Союза.</w:t>
      </w:r>
    </w:p>
    <w:p w:rsidR="006C0F7E" w:rsidRDefault="006C0F7E" w:rsidP="006C0F7E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hy-AM" w:eastAsia="en-US" w:bidi="en-US"/>
        </w:rPr>
      </w:pP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  <w:lang w:val="en-US" w:eastAsia="en-US" w:bidi="en-US"/>
        </w:rPr>
        <w:t>II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6C0F7E">
        <w:rPr>
          <w:rFonts w:ascii="Sylfaen" w:hAnsi="Sylfaen"/>
          <w:sz w:val="24"/>
          <w:szCs w:val="24"/>
        </w:rPr>
        <w:t>Формирование и ведение единого реестра</w:t>
      </w:r>
      <w:r w:rsidR="006C0F7E">
        <w:rPr>
          <w:rFonts w:ascii="Sylfaen" w:hAnsi="Sylfaen"/>
          <w:sz w:val="24"/>
          <w:szCs w:val="24"/>
          <w:lang w:val="hy-AM"/>
        </w:rPr>
        <w:t xml:space="preserve"> </w:t>
      </w:r>
      <w:r w:rsidRPr="006C0F7E">
        <w:rPr>
          <w:rFonts w:ascii="Sylfaen" w:hAnsi="Sylfaen"/>
          <w:sz w:val="24"/>
          <w:szCs w:val="24"/>
        </w:rPr>
        <w:t>медицинских изделий, зарегистрированных в рамках Союза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Единый реестр медицинских изделий, зарегистрированных в рамках Союза (далее в настоящем разделе и разделе III - единый реестр), содержит сведения о медицинских изделиях, находящихся в обращении в рамках Союза.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Формирование и ведение единого реестра осуществляются Комиссией на основе сведений, представляемых уполномоченными органами с использованием средств интегрированной системы.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Единый реестр содержит следующие сведения: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наименование медицинского изделия;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б)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наименования модификаций медицинского изделия (при наличии);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наименования комплектующих к медицинскому изделию (при наличии);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г)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наименования принадлежностей к медицинскому изделию (при наличии);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д)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наименования расходных материалов к медицинскому изделию (при наличии);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е)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дата регистрации медицинского изделия;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ж)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номер регистрационного удостоверения медицинского изделия;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з)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наименование референтного государства;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и)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 xml:space="preserve">наименования государств признания, на территориях которых разрешено </w:t>
      </w:r>
      <w:r w:rsidRPr="006C0F7E">
        <w:rPr>
          <w:rFonts w:ascii="Sylfaen" w:hAnsi="Sylfaen"/>
          <w:sz w:val="24"/>
          <w:szCs w:val="24"/>
        </w:rPr>
        <w:lastRenderedPageBreak/>
        <w:t>обращение медицинского изделия в соответствии с его регистрационным удостоверением (далее - государства признания);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к)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статус регистрационного удостоверения медицинского изделия (действует, действие приостановлено, действие отменено, аннулировано, отозвано либо выпуск медицинского изделия прекращен);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л)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дата изменения статуса регистрационного удостоверения медицинского изделия (заполняется при необходимости);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м)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дата внесения изменений в регистрационное досье медицинского изделия (далее - регистрационное досье);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н)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код и наименование вида медицинского изделия в соответствии с номенклатурой медицинских изделий, применяемой в Союзе;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о)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класс потенциального риска применения медицинского изделия в соответствии с применяемой в Союзе классификацией медицинских изделий в зависимости от потенциального риска применения;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п)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организационно-правовая форма производителя медицинского изделия, полное и сокращенное (при наличии) наименования юридического лица, место нахождения (фамилия, имя, отчество (при наличии), место жительства физического лица, зарегистрированного в качестве индивидуального предпринимателя), почтовый адрес, номера телефона и факса, адреса электронной почты и сайта в сети Интернет (при наличии);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р)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организационно-правовая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форма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уполномоченного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представителя производителя медицинского изделия, полное и сокращенное (при наличии) наименования юридического лица, место нахождения (фамилия, имя, отчество (при наличии), место жительства физического лица, зарегистрированного в качестве индивидуального предпринимателя), почтовый адрес, номера телефона и факса, адреса электронной почты и сайта в сети Интернет (при наличии);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с)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место нахождения и почтовый адрес (почтовые адреса) производственной площадки (производственных площадок);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т)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инструкция по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применению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медицинского изделия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(в электронном виде);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у)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изображение маркировки медицинского изделия (в электронном виде);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ф)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сведения о выдаче дубликата регистрационного удостоверения медицинского изделия.</w:t>
      </w:r>
    </w:p>
    <w:p w:rsidR="006C0F7E" w:rsidRDefault="006C0F7E" w:rsidP="006C0F7E">
      <w:pPr>
        <w:pStyle w:val="Bodytext20"/>
        <w:shd w:val="clear" w:color="auto" w:fill="auto"/>
        <w:spacing w:before="0" w:after="120" w:line="240" w:lineRule="auto"/>
        <w:ind w:right="-8"/>
        <w:jc w:val="left"/>
        <w:rPr>
          <w:rFonts w:ascii="Sylfaen" w:hAnsi="Sylfaen"/>
          <w:sz w:val="24"/>
          <w:szCs w:val="24"/>
          <w:lang w:val="hy-AM" w:eastAsia="en-US" w:bidi="en-US"/>
        </w:rPr>
      </w:pP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  <w:lang w:val="en-US" w:eastAsia="en-US" w:bidi="en-US"/>
        </w:rPr>
        <w:t>III</w:t>
      </w:r>
      <w:r w:rsidRPr="006C0F7E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Информационное взаимодействие уполномоченных органов (экспертных организаций) в ходе формирования и ведения единого реестра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Сведения о медицинских изделиях, в отношении которых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проводится процедура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регистрации,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а также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материалы</w:t>
      </w:r>
      <w:r w:rsidR="005A4322"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 xml:space="preserve">регистрационных досье, кроме </w:t>
      </w:r>
      <w:r w:rsidR="005A4322" w:rsidRPr="006C0F7E">
        <w:rPr>
          <w:rFonts w:ascii="Sylfaen" w:hAnsi="Sylfaen"/>
          <w:sz w:val="24"/>
          <w:szCs w:val="24"/>
        </w:rPr>
        <w:lastRenderedPageBreak/>
        <w:t>инструкций по применению зарегистрированных медицинских изделий и изображений их маркировки, относятся к конфиденциальной информации, размещаются в информационных системах уполномоченных органов (экспертных организаций) и доступны только другим заинтересованным уполномоченным органам (экспертным организациям).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Доступ уполномоченных органов (экспертных организаций) к сведениям, содержащимся в информационной системе другого уполномоченного органа (экспертной организации), осуществляется путем обращения к информационным системам уполномоченных органов (экспертных организаций) с использованием средств интегрированной системы.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После принятия заявления о регистрации или заявления о внесении изменений в регистрационное досье уполномоченный орган референтного государства присваивает данному заявлению идентификационный номер.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Идентификационный номер заявления указывается буквенно</w:t>
      </w:r>
      <w:r w:rsidRPr="006C0F7E">
        <w:rPr>
          <w:rFonts w:ascii="Sylfaen" w:hAnsi="Sylfaen"/>
          <w:sz w:val="24"/>
          <w:szCs w:val="24"/>
        </w:rPr>
        <w:softHyphen/>
        <w:t>цифровым способом и состоит из 2-значного буквенного кода референтного государства, порядкового номера и даты принятия заявления о регистрации или заявления о внесении изменений в регистрационное досье (в формате дд.мм.гггг).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В рамках процедуры регистрации медицинских изделий для уполномоченных органов (экспертных организаций) с использованием средств интегрированной системы обеспечивается доступ к следующим сведениям и документам: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идентификационный номер заявления о регистрации;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б)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заявление о регистрации (в электронном виде);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регистрационное досье;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г)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экспертные заключения, подготовленные в соответствии с Правилами регистрации медицинских изделий, включая протоколы исследований (испытаний);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д)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запросы о предоставлении заявителем дополнительных сведений и ответы на них;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е)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запросы, замечания и предложения уполномоченных органов (экспертных организаций) государств признания, направленные в уполномоченный орган (экспертную организацию) референтного государства, и ответы на них;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ж)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документы (включая отчеты) об инспекциях производства медицинских изделий, проведенных в ходе экспертных работ;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з)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информация об этапах рассмотрения регистрационного досье.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При внесении изменений в регистрационное досье уполномоченные органы с использованием средств интегрированной системы осуществляют обмен следующими сведениями и документами: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 xml:space="preserve">идентификационный номер заявления о внесении изменений в </w:t>
      </w:r>
      <w:r w:rsidRPr="006C0F7E">
        <w:rPr>
          <w:rFonts w:ascii="Sylfaen" w:hAnsi="Sylfaen"/>
          <w:sz w:val="24"/>
          <w:szCs w:val="24"/>
        </w:rPr>
        <w:lastRenderedPageBreak/>
        <w:t>регистрационное досье;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б)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заявление о внесении изменений в регистрационное досье;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комплект документов в соответствии с Правилами регистрации медицинских изделий;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г)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запросы, замечания и предложения уполномоченных органов (экспертных организаций) государств признания, направленные в уполномоченный орган (экспертную организацию) референтного государства, и ответы на них;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д)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информация об этапах рассмотрения заявления о внесении изменений в регистрационное досье.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В целях обеспечения получения всеми заинтересованными уполномоченными органами (экспертными организациями) государств признания сведений, необходимых для осуществления своевременного обмена информацией в рамках проведения процедур регистрации медицинских изделий и внесения изменений в регистрационные досье, уполномоченный орган референтного государства представляет в Комиссию с использованием средств интегрированной системы сведения об идентификационных номерах заявлений о регистрации медицинских изделий и заявлений о внесении изменений в регистрационные досье.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Взаимодействие заявителя с уполномоченным органом (экспертной организацией) в рамках проведения процедур регистрации медицинского изделия и внесения изменений в регистрационное досье осуществляется с использованием ресурсов информационной системы уполномоченного органа (экспертной организации) референтного государства.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В случае принятия решения о регистрации медицинского изделия уполномоченный орган референтного государства в течение 1 рабочего дня: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получает с использованием средств интегрированной системы порядковый номер регистрационного удостоверения медицинского изделия в едином реестре;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б)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вносит в единый реестр сведения в соответствии с пунктом 14 настоящего Порядка;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уведомляет с использованием средств интегрированной системы уполномоченные органы (экспертные организации) государств признания о регистрации медицинского изделия и внесении сведений о нем и соответствующих документов в единый реестр.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В случае изменения статуса регистрационного удостоверения медицинского изделия уполномоченный орган (экспертная организация) референтного государства уведомляет об этом уполномоченные органы (экспертные организации) государств признания с использованием средств интегрированной системы.</w:t>
      </w:r>
    </w:p>
    <w:p w:rsidR="006C0F7E" w:rsidRDefault="006C0F7E">
      <w:pPr>
        <w:rPr>
          <w:rFonts w:eastAsia="Times New Roman" w:cs="Times New Roman"/>
          <w:lang w:val="en-US" w:eastAsia="en-US" w:bidi="en-US"/>
        </w:rPr>
      </w:pPr>
      <w:r>
        <w:rPr>
          <w:lang w:val="en-US" w:eastAsia="en-US" w:bidi="en-US"/>
        </w:rPr>
        <w:br w:type="page"/>
      </w:r>
    </w:p>
    <w:p w:rsidR="00727983" w:rsidRDefault="006C0F7E" w:rsidP="006C0F7E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  <w:lang w:val="hy-AM"/>
        </w:rPr>
      </w:pPr>
      <w:r w:rsidRPr="006C0F7E">
        <w:rPr>
          <w:rFonts w:ascii="Sylfaen" w:hAnsi="Sylfaen"/>
          <w:sz w:val="24"/>
          <w:szCs w:val="24"/>
          <w:lang w:val="en-US" w:eastAsia="en-US" w:bidi="en-US"/>
        </w:rPr>
        <w:lastRenderedPageBreak/>
        <w:t>IV</w:t>
      </w:r>
      <w:r w:rsidRPr="006C0F7E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Формирование и ведение единого реестра уполномоченных организаций, имеющих право проводить исследования (испытания) медицинских изделий в целях их регистрации</w:t>
      </w:r>
    </w:p>
    <w:p w:rsidR="006C0F7E" w:rsidRPr="006C0F7E" w:rsidRDefault="006C0F7E" w:rsidP="006C0F7E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  <w:lang w:val="hy-AM"/>
        </w:rPr>
      </w:pP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Единый реестр уполномоченных организаций, имеющих право проводить исследования (испытания) медицинских изделий в целях их регистрации (далее - реестр уполномоченных организаций), содержит сведения об учреждениях, организациях и предприятиях, в том числе о медицинских учреждениях и организациях, в соответствии с перечнями таких учреждений, организаций и предприятий, определяемыми уполномоченными органами.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Формирование и ведение реестра уполномоченных организаций осуществляются Комиссией на основе сведений, представляемых уполномоченными органами с использованием средств интегрированной системы.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Реестр уполномоченных организаций содержит: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перечень учреждений, организаций и предприятий (далее - перечень испытательных лабораторий (центров)):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имеющих право проводить технические испытания медицинских изделий и исследования (испытания) с целью оценки биологического действия медицинских изделий, аккредитованных в установленном порядке;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имеющих право проводить испытания в целях утверждения типа средств измерений, аккредитованных в установленном порядке или уполномоченных в установленном порядке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законодательством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государства-члена в области обеспечения единства измерений (в отношении медицинских изделий, отнесенных к средствам измерений, перечень которых утверждается Комиссией);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б) перечень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медицинских организаций,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имеющих право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осуществлять клинические и (или) клинико-лабораторные исследования (испытания) медицинских изделий с целью оценки их безопасности и клинической эффективности (далее - перечень медицинских организаций).</w:t>
      </w:r>
    </w:p>
    <w:p w:rsidR="00727983" w:rsidRPr="006C0F7E" w:rsidRDefault="006C0F7E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Перечень испытательных лабораторий (центров) содержит следующие сведения: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организационно-правовая форма, полное и сокращенное (при наличии) наименования испытательной лаборатории (центра);</w:t>
      </w:r>
    </w:p>
    <w:p w:rsidR="00727983" w:rsidRPr="006C0F7E" w:rsidRDefault="005A4322" w:rsidP="006C0F7E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б)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номер аттестата аккредитации или документа уполномочивания;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дата выдачи аттестата аккредитации;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г)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дата окончания действия аттестата аккредитации;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д)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статус действия аттестата аккредитации или документа уполномочивания;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е)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место нахождения (адрес) испытательной лаборатории (центра), номера телефона и факса, адреса электронной почты и сайта в сети Интернет (при наличии);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lastRenderedPageBreak/>
        <w:t>ж)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фамилия, имя, отчество (при наличии), контактные данные руководителя испытательной лаборатории (центра);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з)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описание области аккредитации или документа уполномочивания.</w:t>
      </w:r>
    </w:p>
    <w:p w:rsidR="00727983" w:rsidRPr="006C0F7E" w:rsidRDefault="006C0F7E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Перечень медицинских организаций содержит следующие сведения: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организационно-правовая форма, полное и сокращенное (при наличии) наименования медицинской организации;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б)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место нахождения (адрес) медицинской организации, номера телефона и факса, адреса электронной почты и сайта в сети Интернет (при наличии);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фамилия, имя, отчество (при наличии), контактные данные руководителя медицинской организации;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г)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виды деятельности медицинской организации;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д)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реквизиты распорядительного документа, на основании которого медицинской организации разрешено проведение клинических и (или) клинико-лабораторных исследований (испытаний) медицинских изделий.</w:t>
      </w:r>
    </w:p>
    <w:p w:rsidR="00EE2412" w:rsidRDefault="00EE2412" w:rsidP="006C0F7E">
      <w:pPr>
        <w:pStyle w:val="Bodytext20"/>
        <w:shd w:val="clear" w:color="auto" w:fill="auto"/>
        <w:spacing w:before="0" w:after="120" w:line="240" w:lineRule="auto"/>
        <w:ind w:right="-8"/>
        <w:jc w:val="left"/>
        <w:rPr>
          <w:rFonts w:ascii="Sylfaen" w:hAnsi="Sylfaen"/>
          <w:sz w:val="24"/>
          <w:szCs w:val="24"/>
          <w:lang w:val="hy-AM" w:eastAsia="en-US" w:bidi="en-US"/>
        </w:rPr>
      </w:pPr>
    </w:p>
    <w:p w:rsidR="00727983" w:rsidRPr="006C0F7E" w:rsidRDefault="006C0F7E" w:rsidP="00EE2412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  <w:lang w:val="en-US" w:eastAsia="en-US" w:bidi="en-US"/>
        </w:rPr>
        <w:t>V</w:t>
      </w:r>
      <w:r w:rsidRPr="006C0F7E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Формирование и ведение единой информационной базы данных мониторинга безопасности, качества и эффективности медицинских изделий</w:t>
      </w:r>
    </w:p>
    <w:p w:rsidR="00727983" w:rsidRPr="006C0F7E" w:rsidRDefault="006C0F7E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Единая информационная база данных мониторинга безопасности, качества и эффективности медицинских изделий (далее - база данных) содержит сведения о неблагоприятных событиях (инцидентах), связанных с медицинскими изделиями, и корректирующих действиях по безопасности медицинского изделия.</w:t>
      </w:r>
    </w:p>
    <w:p w:rsidR="00727983" w:rsidRPr="006C0F7E" w:rsidRDefault="006C0F7E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Формирование и ведение базы данных осуществляются Комиссией на основании сведений, представляемых уполномоченными органами в электронном виде с использованием средств интегрированной системы.</w:t>
      </w:r>
    </w:p>
    <w:p w:rsidR="00727983" w:rsidRPr="006C0F7E" w:rsidRDefault="006C0F7E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30.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База данных содержит следующие сведения: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а)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наименование медицинского изделия с указанием заводского (серийного) номера и (или) номера партии;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б)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реквизиты регистрационного удостоверения медицинского изделия (дата, номер, срок действия, наименование уполномоченного органа референтного государства);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г)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код и наименование вида медицинского изделия в соответствии с номенклатурой медицинских изделий, применяемой в Союзе;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д)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класс потенциального риска применения медицинского изделия в соответствии с применяемой в Союзе классификацией медицинских изделий в зависимости от потенциального риска применения;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е)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 xml:space="preserve">организационно-правовая форма производителя медицинского изделия или </w:t>
      </w:r>
      <w:r w:rsidRPr="006C0F7E">
        <w:rPr>
          <w:rFonts w:ascii="Sylfaen" w:hAnsi="Sylfaen"/>
          <w:sz w:val="24"/>
          <w:szCs w:val="24"/>
        </w:rPr>
        <w:lastRenderedPageBreak/>
        <w:t>его уполномоченного представителя, полное и сокращенное (при наличии) наименования юридического лица, место нахождения (фамилия, имя, отчество (при наличии), место жительства физического лица, зарегистрированного в качестве индивидуального предпринимателя), почтовый адрес, номера телефона и факса, адреса электронной почты и сайта в сети Интернет (при наличии);</w:t>
      </w:r>
    </w:p>
    <w:p w:rsidR="00727983" w:rsidRPr="006C0F7E" w:rsidRDefault="005A4322" w:rsidP="00EE241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з) сведения о неблагоприятных событиях (инцидентах): дата неблагоприятного события (инцидента), описание неблагоприятного события (инцидента), номер отчета о неблагоприятном событии (инциденте) медицинской организации - пользователя (если применимо), дата получения производителем информации о неблагоприятном событии (инциденте), количество вовлеченных пациентов (если известно), количество вовлеченных медицинских изделий (если известно), текущее место нахождения медицинского изделия (если известно), пользователь медицинского изделия в момент неблагоприятного события (инцидента), применение медицинского изделия;</w:t>
      </w:r>
    </w:p>
    <w:p w:rsidR="00727983" w:rsidRPr="006C0F7E" w:rsidRDefault="005A4322" w:rsidP="00F162F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к)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сведения о корректирующих действиях:</w:t>
      </w:r>
    </w:p>
    <w:p w:rsidR="00727983" w:rsidRPr="006C0F7E" w:rsidRDefault="005A4322" w:rsidP="00F162F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 первоначальном отчете - общие сведения и причина корректирующих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действий,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описание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и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обоснование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действий,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рекомендации для поставщиков (дистрибьюторов) и пользователей;</w:t>
      </w:r>
    </w:p>
    <w:p w:rsidR="00727983" w:rsidRPr="006C0F7E" w:rsidRDefault="005A4322" w:rsidP="00F162F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 последующем отчете - общие сведения и причина корректирующих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действий,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описание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и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обоснование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действий,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рекомендации для поставщиков (дистрибьюторов) и пользователей, процесс реализации корректирующих действий, сроки реализации корректирующих действий;</w:t>
      </w:r>
    </w:p>
    <w:p w:rsidR="00727983" w:rsidRPr="006C0F7E" w:rsidRDefault="005A4322" w:rsidP="00F162F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в заключительном отчете - общие сведения и причина корректирующих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действий,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описание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и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обоснование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действий,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рекомендации для поставщиков (дистрибьюторов) и пользователей, процесс реализации корректирующих действий, сроки реализации корректирующих действий;</w:t>
      </w:r>
    </w:p>
    <w:p w:rsidR="00727983" w:rsidRPr="006C0F7E" w:rsidRDefault="005A4322" w:rsidP="00F162F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л)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сведения о результатах расследования неблагоприятного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события (инцидента):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результаты анализа, проведенного</w:t>
      </w:r>
      <w:r w:rsidRPr="006C0F7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C0F7E">
        <w:rPr>
          <w:rFonts w:ascii="Sylfaen" w:hAnsi="Sylfaen"/>
          <w:sz w:val="24"/>
          <w:szCs w:val="24"/>
        </w:rPr>
        <w:t>производителем медицинского изделия, оценка неблагоприятного события (инцидента) (коды и термины уровней 1 и 2 в соответствии с правилами проведения мониторинга безопасности, качества и эффективности медицинских изделий), предпринятые действия и сроки их реализации, заключительные комментарии производителя, осведомленность производителя о подобных неблагоприятных событиях (инцидентах), связанных с данным типом медицинского изделия, со схожей причиной неблагоприятного события (инцидента) и их количество с указанием стран и номеров неблагоприятных событий (инцидентов), страны распространения медицинских изделий;</w:t>
      </w:r>
    </w:p>
    <w:p w:rsidR="00727983" w:rsidRPr="006C0F7E" w:rsidRDefault="005A4322" w:rsidP="00F162F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м)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 xml:space="preserve">сведения, полученные в рамках отчета о безопасности и клинической эффективности медицинских изделий класса потенциального риска применения 3, а также медицинских изделий класса потенциального риска применения 26, имплантируемых в организм человека: перечень идентифицированных остаточных </w:t>
      </w:r>
      <w:r w:rsidRPr="006C0F7E">
        <w:rPr>
          <w:rFonts w:ascii="Sylfaen" w:hAnsi="Sylfaen"/>
          <w:sz w:val="24"/>
          <w:szCs w:val="24"/>
        </w:rPr>
        <w:lastRenderedPageBreak/>
        <w:t>рисков, связанных с медицинским изделием, цели, задачи и схема пострегистрационного клинического мониторинга, клинические данные, полученные за отчетный период (с оценками клинических данных за отчетный период и за весь период клинического мониторинга), заключение о необходимости (отсутствии необходимости) корректировки плана клинического мониторинга, заключение о необходимости (отсутствии необходимости) выполнения корректирующих действий по безопасности медицинского изделия и описание корректирующих действий, заключение (обоснование) о клинической безопасности и эффективности медицинского изделия,</w:t>
      </w:r>
      <w:r w:rsidR="00F162F8">
        <w:rPr>
          <w:rFonts w:ascii="Sylfaen" w:hAnsi="Sylfaen"/>
          <w:sz w:val="24"/>
          <w:szCs w:val="24"/>
          <w:lang w:val="hy-AM"/>
        </w:rPr>
        <w:t xml:space="preserve"> </w:t>
      </w:r>
      <w:r w:rsidRPr="006C0F7E">
        <w:rPr>
          <w:rFonts w:ascii="Sylfaen" w:hAnsi="Sylfaen"/>
          <w:sz w:val="24"/>
          <w:szCs w:val="24"/>
        </w:rPr>
        <w:t>заключение о необходимости (отсутствии необходимости) продления цикла клинического мониторинга;</w:t>
      </w:r>
    </w:p>
    <w:p w:rsidR="00727983" w:rsidRPr="006C0F7E" w:rsidRDefault="005A4322" w:rsidP="00F162F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н)</w:t>
      </w:r>
      <w:r w:rsidR="006C0F7E">
        <w:rPr>
          <w:rFonts w:ascii="Sylfaen" w:hAnsi="Sylfaen"/>
          <w:sz w:val="24"/>
          <w:szCs w:val="24"/>
        </w:rPr>
        <w:t xml:space="preserve"> </w:t>
      </w:r>
      <w:r w:rsidRPr="006C0F7E">
        <w:rPr>
          <w:rFonts w:ascii="Sylfaen" w:hAnsi="Sylfaen"/>
          <w:sz w:val="24"/>
          <w:szCs w:val="24"/>
        </w:rPr>
        <w:t>копия уведомления производителя по безопасности медицинского изделия по форме, установленной Правилами проведения мониторинга безопасности, качества и эффективности медицинских изделий.</w:t>
      </w:r>
    </w:p>
    <w:p w:rsidR="00727983" w:rsidRPr="006C0F7E" w:rsidRDefault="006C0F7E" w:rsidP="00F162F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6C0F7E">
        <w:rPr>
          <w:rFonts w:ascii="Sylfaen" w:hAnsi="Sylfaen"/>
          <w:sz w:val="24"/>
          <w:szCs w:val="24"/>
        </w:rPr>
        <w:t>31.</w:t>
      </w:r>
      <w:r>
        <w:rPr>
          <w:rFonts w:ascii="Sylfaen" w:hAnsi="Sylfaen"/>
          <w:sz w:val="24"/>
          <w:szCs w:val="24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Сведения, содержащиеся в подпунктах «з» - «м» пункта 30 настоящего Порядка, относятся к закрытой части, не подлежат опубликованию и доступны только для уполномоченных органов</w:t>
      </w:r>
      <w:r w:rsidR="00F162F8">
        <w:rPr>
          <w:rFonts w:ascii="Sylfaen" w:hAnsi="Sylfaen"/>
          <w:sz w:val="24"/>
          <w:szCs w:val="24"/>
          <w:lang w:val="hy-AM"/>
        </w:rPr>
        <w:t xml:space="preserve"> </w:t>
      </w:r>
      <w:r w:rsidR="005A4322" w:rsidRPr="006C0F7E">
        <w:rPr>
          <w:rFonts w:ascii="Sylfaen" w:hAnsi="Sylfaen"/>
          <w:sz w:val="24"/>
          <w:szCs w:val="24"/>
        </w:rPr>
        <w:t>(экспертных организаций).</w:t>
      </w:r>
      <w:bookmarkStart w:id="1" w:name="bookmark1"/>
      <w:bookmarkEnd w:id="1"/>
    </w:p>
    <w:sectPr w:rsidR="00727983" w:rsidRPr="006C0F7E" w:rsidSect="006C0F7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AD" w:rsidRDefault="000B2BAD" w:rsidP="00727983">
      <w:r>
        <w:separator/>
      </w:r>
    </w:p>
  </w:endnote>
  <w:endnote w:type="continuationSeparator" w:id="0">
    <w:p w:rsidR="000B2BAD" w:rsidRDefault="000B2BAD" w:rsidP="0072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AD" w:rsidRDefault="000B2BAD"/>
  </w:footnote>
  <w:footnote w:type="continuationSeparator" w:id="0">
    <w:p w:rsidR="000B2BAD" w:rsidRDefault="000B2B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C39"/>
    <w:multiLevelType w:val="multilevel"/>
    <w:tmpl w:val="C7F0C2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A74CBF"/>
    <w:multiLevelType w:val="multilevel"/>
    <w:tmpl w:val="DFA0AB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4873AC"/>
    <w:multiLevelType w:val="multilevel"/>
    <w:tmpl w:val="CC661C1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E37B95"/>
    <w:multiLevelType w:val="multilevel"/>
    <w:tmpl w:val="C106AB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B76A38"/>
    <w:multiLevelType w:val="multilevel"/>
    <w:tmpl w:val="6E8A0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7983"/>
    <w:rsid w:val="000B2BAD"/>
    <w:rsid w:val="005A4322"/>
    <w:rsid w:val="006C0F7E"/>
    <w:rsid w:val="00727983"/>
    <w:rsid w:val="00EE2412"/>
    <w:rsid w:val="00F04271"/>
    <w:rsid w:val="00F1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798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798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DefaultParagraphFont"/>
    <w:link w:val="Heading20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27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7279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27983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727983"/>
    <w:pPr>
      <w:shd w:val="clear" w:color="auto" w:fill="FFFFFF"/>
      <w:spacing w:before="120" w:after="8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2798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27983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7279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Sylfaen">
    <w:name w:val="Body text (2) + Sylfaen"/>
    <w:aliases w:val="14 pt,Bold,Body text (2) + Arial Unicode MS,10.5 pt"/>
    <w:basedOn w:val="Bodytext2"/>
    <w:rsid w:val="006C0F7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3215</Words>
  <Characters>18327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2017-03-06T09:38:00Z</dcterms:created>
  <dcterms:modified xsi:type="dcterms:W3CDTF">2017-05-30T11:20:00Z</dcterms:modified>
</cp:coreProperties>
</file>