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left="5387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BF4B37">
        <w:rPr>
          <w:rFonts w:ascii="Sylfaen" w:hAnsi="Sylfaen"/>
          <w:sz w:val="24"/>
          <w:szCs w:val="24"/>
        </w:rPr>
        <w:t>УТВЕРЖДЕНЫ</w:t>
      </w:r>
    </w:p>
    <w:p w:rsidR="00BF6A98" w:rsidRPr="00B35FC8" w:rsidRDefault="00313F75" w:rsidP="00B35FC8">
      <w:pPr>
        <w:pStyle w:val="Bodytext40"/>
        <w:shd w:val="clear" w:color="auto" w:fill="auto"/>
        <w:spacing w:before="0" w:after="120" w:line="240" w:lineRule="auto"/>
        <w:ind w:left="5387" w:firstLine="0"/>
        <w:jc w:val="center"/>
        <w:rPr>
          <w:rStyle w:val="Bodytext416pt"/>
          <w:rFonts w:ascii="Sylfaen" w:hAnsi="Sylfaen"/>
          <w:w w:val="100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Решением Высшего Евр</w:t>
      </w:r>
      <w:r w:rsidR="00B35FC8">
        <w:rPr>
          <w:rFonts w:ascii="Sylfaen" w:hAnsi="Sylfaen"/>
          <w:sz w:val="24"/>
          <w:szCs w:val="24"/>
        </w:rPr>
        <w:t>азийского экономического совета</w:t>
      </w:r>
      <w:r w:rsidR="00B35FC8" w:rsidRPr="00B35FC8">
        <w:rPr>
          <w:rFonts w:ascii="Sylfaen" w:hAnsi="Sylfaen"/>
          <w:sz w:val="24"/>
          <w:szCs w:val="24"/>
        </w:rPr>
        <w:t xml:space="preserve"> </w:t>
      </w:r>
      <w:r w:rsidRPr="00BF4B37">
        <w:rPr>
          <w:rFonts w:ascii="Sylfaen" w:hAnsi="Sylfaen"/>
          <w:sz w:val="24"/>
          <w:szCs w:val="24"/>
        </w:rPr>
        <w:t xml:space="preserve">от 31 мая 2016 г. № </w:t>
      </w:r>
      <w:r w:rsidRPr="00B35FC8">
        <w:rPr>
          <w:rStyle w:val="Bodytext416pt"/>
          <w:rFonts w:ascii="Sylfaen" w:hAnsi="Sylfaen"/>
          <w:i w:val="0"/>
          <w:w w:val="100"/>
          <w:sz w:val="24"/>
          <w:szCs w:val="24"/>
        </w:rPr>
        <w:t>5</w:t>
      </w:r>
    </w:p>
    <w:p w:rsidR="00B35FC8" w:rsidRPr="00B35FC8" w:rsidRDefault="00B35FC8" w:rsidP="00BF4B37">
      <w:pPr>
        <w:pStyle w:val="Bodytext40"/>
        <w:shd w:val="clear" w:color="auto" w:fill="auto"/>
        <w:spacing w:before="0" w:after="120" w:line="240" w:lineRule="auto"/>
        <w:ind w:left="5000" w:firstLine="1120"/>
        <w:jc w:val="left"/>
        <w:rPr>
          <w:rFonts w:ascii="Sylfaen" w:hAnsi="Sylfaen"/>
          <w:sz w:val="24"/>
          <w:szCs w:val="24"/>
        </w:rPr>
      </w:pPr>
    </w:p>
    <w:p w:rsidR="00B35FC8" w:rsidRPr="00B00A54" w:rsidRDefault="00313F75" w:rsidP="00B35FC8">
      <w:pPr>
        <w:pStyle w:val="Bodytext30"/>
        <w:shd w:val="clear" w:color="auto" w:fill="auto"/>
        <w:spacing w:after="120" w:line="240" w:lineRule="auto"/>
        <w:ind w:left="1134" w:right="1135"/>
        <w:jc w:val="center"/>
        <w:rPr>
          <w:rStyle w:val="Bodytext314pt0"/>
          <w:rFonts w:ascii="Sylfaen" w:hAnsi="Sylfaen"/>
          <w:b/>
          <w:bCs/>
          <w:spacing w:val="0"/>
          <w:sz w:val="24"/>
          <w:szCs w:val="24"/>
        </w:rPr>
      </w:pPr>
      <w:r w:rsidRPr="00BF4B37">
        <w:rPr>
          <w:rStyle w:val="Bodytext314pt0"/>
          <w:rFonts w:ascii="Sylfaen" w:hAnsi="Sylfaen"/>
          <w:b/>
          <w:bCs/>
          <w:spacing w:val="0"/>
          <w:sz w:val="24"/>
          <w:szCs w:val="24"/>
        </w:rPr>
        <w:t>ОСНОВНЫЕ ОРИЕНТИРЫ</w:t>
      </w:r>
    </w:p>
    <w:p w:rsidR="00BF6A98" w:rsidRPr="00B35FC8" w:rsidRDefault="00313F75" w:rsidP="00B35FC8">
      <w:pPr>
        <w:pStyle w:val="Bodytext30"/>
        <w:shd w:val="clear" w:color="auto" w:fill="auto"/>
        <w:spacing w:after="120" w:line="240" w:lineRule="auto"/>
        <w:ind w:left="1134" w:right="1135"/>
        <w:jc w:val="center"/>
        <w:rPr>
          <w:rStyle w:val="Bodytext314pt"/>
          <w:rFonts w:ascii="Sylfaen" w:hAnsi="Sylfaen"/>
          <w:b/>
          <w:bCs/>
          <w:sz w:val="24"/>
          <w:szCs w:val="24"/>
        </w:rPr>
      </w:pPr>
      <w:r w:rsidRPr="00BF4B37">
        <w:rPr>
          <w:rStyle w:val="Bodytext314pt"/>
          <w:rFonts w:ascii="Sylfaen" w:hAnsi="Sylfaen"/>
          <w:b/>
          <w:bCs/>
          <w:sz w:val="24"/>
          <w:szCs w:val="24"/>
        </w:rPr>
        <w:t xml:space="preserve">макроэкономической политики государств </w:t>
      </w:r>
      <w:r w:rsidR="00B35FC8">
        <w:rPr>
          <w:rStyle w:val="Bodytext314pt"/>
          <w:rFonts w:ascii="Sylfaen" w:hAnsi="Sylfaen"/>
          <w:b/>
          <w:bCs/>
          <w:sz w:val="24"/>
          <w:szCs w:val="24"/>
        </w:rPr>
        <w:t>–</w:t>
      </w:r>
      <w:r w:rsidRPr="00BF4B37">
        <w:rPr>
          <w:rStyle w:val="Bodytext314pt"/>
          <w:rFonts w:ascii="Sylfaen" w:hAnsi="Sylfaen"/>
          <w:b/>
          <w:bCs/>
          <w:sz w:val="24"/>
          <w:szCs w:val="24"/>
        </w:rPr>
        <w:t xml:space="preserve"> членов</w:t>
      </w:r>
      <w:r w:rsidR="00B35FC8" w:rsidRPr="00B35FC8">
        <w:rPr>
          <w:rStyle w:val="Bodytext314pt"/>
          <w:rFonts w:ascii="Sylfaen" w:hAnsi="Sylfaen"/>
          <w:b/>
          <w:bCs/>
          <w:sz w:val="24"/>
          <w:szCs w:val="24"/>
        </w:rPr>
        <w:t xml:space="preserve"> </w:t>
      </w:r>
      <w:r w:rsidRPr="00BF4B37">
        <w:rPr>
          <w:rStyle w:val="Bodytext314pt"/>
          <w:rFonts w:ascii="Sylfaen" w:hAnsi="Sylfaen"/>
          <w:b/>
          <w:bCs/>
          <w:sz w:val="24"/>
          <w:szCs w:val="24"/>
        </w:rPr>
        <w:t>Евразийского экономического союза на 2016 - 2017 годы</w:t>
      </w:r>
    </w:p>
    <w:p w:rsidR="00B35FC8" w:rsidRPr="00B35FC8" w:rsidRDefault="00B35FC8" w:rsidP="00B35FC8">
      <w:pPr>
        <w:pStyle w:val="Bodytext30"/>
        <w:shd w:val="clear" w:color="auto" w:fill="auto"/>
        <w:spacing w:after="120" w:line="240" w:lineRule="auto"/>
        <w:ind w:left="1134" w:right="1135"/>
        <w:jc w:val="center"/>
        <w:rPr>
          <w:rFonts w:ascii="Sylfaen" w:hAnsi="Sylfaen"/>
        </w:rPr>
      </w:pP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Настоящий документ, разработанный в соответствии с Договором о Евразийском экономическом союзе от 29 мая 2014 года (далее - Договор) и направленный на достижение целей, установленных Основными направлениями экономического развития Евразийского экономического союза, утвержденными Решением Высшего Евразийского экономического совета от 16 октября 2015 г. № 28, определяет наиболее важные для экономик государств - членов Евразийского экономического союза (далее соответственно - государства-члены, Союз) кратко- и среднесрочные задачи на 2016 - 2017 годы, а также содержит рекомендации по их решению.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В 2015 году экономическое развитие государств-членов проходило в условиях нарастания негативных тенденций во внешнеэкономической конъюнктуре, что привело к углублению внутренних дисбалансов и усилению уязвимости национальных экономик.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Снижение темпов роста мировой экономики на фоне сохранения объемов добычи сырьевых ресурсов усилило тенденцию к снижению цен на нефть и основные сырьевые товары, экспортируемые государствами-членами.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 xml:space="preserve">В </w:t>
      </w:r>
      <w:r w:rsidRPr="00BF4B37">
        <w:rPr>
          <w:rFonts w:ascii="Sylfaen" w:hAnsi="Sylfaen"/>
          <w:sz w:val="24"/>
          <w:szCs w:val="24"/>
          <w:lang w:eastAsia="en-US" w:bidi="en-US"/>
        </w:rPr>
        <w:t xml:space="preserve">2015 </w:t>
      </w:r>
      <w:r w:rsidRPr="00BF4B37">
        <w:rPr>
          <w:rFonts w:ascii="Sylfaen" w:hAnsi="Sylfaen"/>
          <w:sz w:val="24"/>
          <w:szCs w:val="24"/>
        </w:rPr>
        <w:t>году произошло значительное снижение мировых цен на энергоносители, металлы и сельскохозяйственную продукцию, которое на фоне падения спроса на эти товары при сохранении высокой зависимости национальных экономик от импорта привело к значительному сокращению экспортных доходов и оказало негативное влияние на состояние платежных балансов государств-членов.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Усилению негативного влияния способствовал и сохраняющийся отток капитала из государств-членов, связанный как с глобальной тенденцией переориентации инвестиционных потоков с развивающихся рынков на развитые рынки, так и с погашением компаниями внешних долговых обязательств.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В то же время положительное влияние на платежные балансы государств-членов оказали значительные темпы снижения импорта, однако высокая открытость национальных экономик, в том числе зависимость национальных производств от импортной продукции, повышает уязвимость государств-членов в условиях влияния негативных внешних рисков.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lastRenderedPageBreak/>
        <w:t>Переход государств-членов к более гибкому курсообразованию и последовавшее за этим ослабление курсов их национальных валют к резервным мировым валютам повысили ценовую конкурентоспособность товаров государств-членов на внешних рынках и сократили падение экспортных доходов бюджетов ряда государств- членов, а также способствовали снижению давления на их международные резервные активы. В то же время значительная волатильность курсов национальных валют государств-членов привела к повышению девальвационных и инфляционных ожиданий субъектов экономической деятельности, к ускорению роста цен на внутреннем</w:t>
      </w:r>
      <w:r w:rsidR="00B35FC8" w:rsidRPr="00B35FC8">
        <w:rPr>
          <w:rFonts w:ascii="Sylfaen" w:hAnsi="Sylfaen"/>
          <w:sz w:val="24"/>
          <w:szCs w:val="24"/>
        </w:rPr>
        <w:t xml:space="preserve"> </w:t>
      </w:r>
      <w:r w:rsidRPr="00BF4B37">
        <w:rPr>
          <w:rFonts w:ascii="Sylfaen" w:hAnsi="Sylfaen"/>
          <w:sz w:val="24"/>
          <w:szCs w:val="24"/>
        </w:rPr>
        <w:t>рынке Союза на импортную и национальную продукцию и к снижению реальных доходов населения государств-членов.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В совокупности со снижением темпов кредитования физических и юридических лиц данные факторы оказали влияние на сокращение потребительской и инвестиционной активности в государствах-членах и внутреннего спроса в целом.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В Республике Армения и Кыргызской Республике негативное влияние на внутренний спрос оказало также сокращение объема денежных переводов граждан, осуществляющих трудовую деятельность в других государствах-членах.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Экономическое развитие Республики Армения, Республики Казахстан и Кыргызской Республики в 2015 году по сравнению с 2014 годом характеризуется замедлением темпов экономического роста с 103,5 до 103,1 процента, с 104,4 до 101,2 процента и с 104,0 до 103,5 процента соответственно.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В условиях влияния негативных внешних и внутренних факторов в Республике Беларусь и Российской Федерации наблюдается сокращение валового внутреннего продукта по итогам 2015 года до 96,1 процента и 96,3 процента соответственно.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Принятые правительствами и национальными (центральными) банками государств-членов меры способствовали смягчению воздействия неблагоприятной внешнеэкономической конъюнктуры на национальные экономики.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Начало функционирования Союза в 2015 году, являющееся основой углубления интеграционных процессов государств-членов и формирования условий для свободного движения товаров, капитала, услуг и рабочей силы, создало новые возможности для активизации торгово-экономического сотрудничества государств-членов и</w:t>
      </w:r>
      <w:r w:rsidR="00B35FC8" w:rsidRPr="00B35FC8">
        <w:rPr>
          <w:rFonts w:ascii="Sylfaen" w:hAnsi="Sylfaen"/>
          <w:sz w:val="24"/>
          <w:szCs w:val="24"/>
        </w:rPr>
        <w:t xml:space="preserve"> </w:t>
      </w:r>
      <w:r w:rsidRPr="00BF4B37">
        <w:rPr>
          <w:rFonts w:ascii="Sylfaen" w:hAnsi="Sylfaen"/>
          <w:sz w:val="24"/>
          <w:szCs w:val="24"/>
        </w:rPr>
        <w:t>способствовало увеличению удельного веса взаимной торговли в общем объеме торговли Союза.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Дальнейшее развитие производственно-экономических связей между государствами-членами усиливает необходимость координации проведения государствами-членами согласованной макроэкономической политики.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Ожидаемое ухудшение внешних условий на фоне отсутствия предпосылок для роста цен на основные экспортные товары государств- членов требует консолидации усилий государств-членов по принятию эффективных совместных мер на уровне Союза и на национальном уровне, которые будут направлены на повышение устойчивости экономик государств-членов и преодоление последствий сложившейся негативной экономической ситуации.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lastRenderedPageBreak/>
        <w:t>В связи с этим основные ориентиры макроэкономической политики, реализуемой государствами-членами в 2016 - 2017 годах, будут направлены на обеспечение углубления взаимодействия и активизацию совместных усилий государств-членов по следующим направлениям: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обеспечение макроэкономической устойчивости: принятие мер по стабилизации уровня инфляции, поддержание сбалансированности бюджетных систем государств-членов, обеспечение долговой устойчивости сектора государственного управления;</w:t>
      </w:r>
    </w:p>
    <w:p w:rsidR="00BF6A98" w:rsidRPr="00B35FC8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создание условий для устойчивого развития и восстановления экономического роста: диверсификация экономик государств-членов, расширение источников финансовых средств и повышение доступности кредитных ресурсов с целью наращивания объемов инвестиций в основной капитал, активизация взаимной торговли и развитие</w:t>
      </w:r>
      <w:r w:rsidR="00B35FC8" w:rsidRPr="00B35FC8">
        <w:rPr>
          <w:rFonts w:ascii="Sylfaen" w:hAnsi="Sylfaen"/>
          <w:sz w:val="24"/>
          <w:szCs w:val="24"/>
        </w:rPr>
        <w:t xml:space="preserve"> </w:t>
      </w:r>
      <w:r w:rsidRPr="00BF4B37">
        <w:rPr>
          <w:rFonts w:ascii="Sylfaen" w:hAnsi="Sylfaen"/>
          <w:sz w:val="24"/>
          <w:szCs w:val="24"/>
        </w:rPr>
        <w:t>внутреннего рынка Союза, развитие внешней торговли и диверсификация рынков сбыта.</w:t>
      </w:r>
    </w:p>
    <w:p w:rsidR="00B35FC8" w:rsidRPr="00B35FC8" w:rsidRDefault="00B35FC8" w:rsidP="00B35FC8">
      <w:pPr>
        <w:pStyle w:val="Bodytext40"/>
        <w:shd w:val="clear" w:color="auto" w:fill="auto"/>
        <w:spacing w:before="0" w:after="120" w:line="240" w:lineRule="auto"/>
        <w:ind w:left="420" w:right="180" w:firstLine="700"/>
        <w:rPr>
          <w:rFonts w:ascii="Sylfaen" w:hAnsi="Sylfaen"/>
          <w:sz w:val="24"/>
          <w:szCs w:val="24"/>
        </w:rPr>
      </w:pPr>
    </w:p>
    <w:p w:rsidR="00BF6A98" w:rsidRPr="00BF4B37" w:rsidRDefault="00313F75" w:rsidP="00BF4B37">
      <w:pPr>
        <w:pStyle w:val="Bodytext40"/>
        <w:shd w:val="clear" w:color="auto" w:fill="auto"/>
        <w:spacing w:before="0" w:after="120" w:line="240" w:lineRule="auto"/>
        <w:ind w:right="220" w:firstLine="0"/>
        <w:jc w:val="center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I. Обеспечение макроэкономической устойчивости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В 2015 году усилилось дестабилизирующее влияние неблагоприятных внешнеэкономических факторов и внутренних макроэкономических дисбалансов на экономики государств-членов, что отразилось на ухудшении предусмотренных Договором макроэкономических показателей, определяющих устойчивость экономического развития.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Увеличение цен на импортную и национальную продукцию на рынках государств-членов в 2015 году в основном было обусловлено ослаблением курсов национальных валют, повышением валютных рисков и ростом инфляционных ожиданий субъектов экономической деятельности. Вклад в рост потребительских цен в ряде государств- членов также внесло увеличение тарифов на услуги субъектов естественных монополий.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Под влиянием этих факторов Республикой Беларусь, Республикой Казахстан и Российской Федерацией по итогам 2015 года превышено установленное статьей 63 Договора расчетное значение уровня инфляции (декабрь к декабрю предыдущего года) на 7,1 процентного пункта, 8,7 процентного пункта и 7,9 процентного пункта соответственно.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Снижение спроса и цен на основные экспортные товары государств-членов на фоне замедления темпов роста экономик их основных торговых партнеров оказывает негативное влияние на темпы</w:t>
      </w:r>
      <w:r w:rsidR="00B35FC8" w:rsidRPr="00B35FC8">
        <w:rPr>
          <w:rFonts w:ascii="Sylfaen" w:hAnsi="Sylfaen"/>
          <w:sz w:val="24"/>
          <w:szCs w:val="24"/>
        </w:rPr>
        <w:t xml:space="preserve"> </w:t>
      </w:r>
      <w:r w:rsidRPr="00BF4B37">
        <w:rPr>
          <w:rFonts w:ascii="Sylfaen" w:hAnsi="Sylfaen"/>
          <w:sz w:val="24"/>
          <w:szCs w:val="24"/>
        </w:rPr>
        <w:t>роста поступлений, формирующих доходную часть бюджетов государств-членов.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Превышение темпов роста расходов консолидированного бюджета над темпами роста его доходов в связи с проведением контрциклической экономической политики способствовало нарастанию дисбалансов в бюджетной сфере государств-членов.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lastRenderedPageBreak/>
        <w:t>Снижение курсов национальных валют государств-членов по отношению к резервным мировым валютам и наличие у государств- членов долговых обязательств в иностранной валюте способствовали увеличению суммы долга сектора государственного управления в национальных валютах государств-членов и расходов бюджетов по его обслуживанию. В условиях превышения расходной части бюджетов государств-членов над доходной некоторые из государств-членов вынуждены прибегать к использованию долговых инструментов для финансирования дефицита своих бюджетов.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В 2015 году для всех государств-членов характерно увеличение долговой нагрузки. В Кыргызской Республике уровень долга сектора государственного управления достиг предельного количественного значения, установленного Договором.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Таким образом, во всех государствах-членах наблюдаются признаки макроэкономической неустойчивости, что в свою очередь оказывает негативное влияние на экономическое развитие каждого государства-члена и Союза в целом.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В связи с этим всем государствам-членам необходимо расширить набор применяемых инструментов и активизировать усилия по достижению и поддержанию макроэкономической устойчивости по следующим ключевым направлениям.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Принятие мер по стабилизации уровня инфляции, включая: продолжение работы по переходу государств-членов к проведению денежно-кредитной политики в режиме таргетирования инфляции и созданию условий для перехода к данному режиму;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выработку подходов к определению среднесрочных ориентиров по уровню инфляции;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совершенствование механизмов и реализацию мер, направленных на недопущение значительного роста цен на социально значимые товары и услуги, а также актуализацию перечней таких товаров и услуг;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выявление нарушений общих правил конкуренции и порядка государственного ценового регулирования;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пресечение нарушений конкурентного (антимонопольного) законодательства государств-членов и общих правил конкуренции на территориях государств-членов;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реализацию и развитие закупочных и товарных интервенций как инструмента снижения сезонных колебаний цен на социально значимые продовольственные товары;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расширение инструментов розничной торговли (электронная торговля, склады-магазины, ярмарки и т. д.), обеспечивающих реализацию товаров по более низким ценам и повышающих доступность товаров для населения государств-членов;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 xml:space="preserve">экономически обоснованное регулирование тарифов на услуги естественных монополий с учетом соблюдения баланса интересов их потребителей и </w:t>
      </w:r>
      <w:r w:rsidRPr="00BF4B37">
        <w:rPr>
          <w:rFonts w:ascii="Sylfaen" w:hAnsi="Sylfaen"/>
          <w:sz w:val="24"/>
          <w:szCs w:val="24"/>
        </w:rPr>
        <w:lastRenderedPageBreak/>
        <w:t>производителей;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анализ рынков государств-членов, находящихся в состоянии монополии, на предмет их оптимального регулирования и возможного формирования конкурентного рынка;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создание условий для активизации использования национальных валют государств-членов в сфере взаимной торговли.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Поддержание сбалансированности бюджетных систем государств- членов, включая: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увеличение доходной части бюджетов государств-членов, в том числе путем совершенствования налоговой системы и повышения эффективности налогового администрирования;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повышение качества и эффективности таможенного администрирования с целью увеличения поступления платежей, администрируемых таможенными органами, в бюджеты государств- членов;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оптимизацию бюджетных расходов за счет концентрации ресурсов на стратегически приоритетных направлениях развития и секторах экономики;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корректировку темпов прироста непроцентных расходов бюджета с учетом складывающегося дефицита (профицита) бюджета сектора государственного управления;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оптимизацию операций с нефинансовыми активами с целью повышения сбалансированности бюджетных систем.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Обеспечение долговой устойчивости сектора государственного управления, включая: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разработку и реализацию стратегий по управлению долгом во избежание пиковых нагрузок в наиболее сложные для экономик государств-членов периоды с целью соблюдения установленного Договором количественного значения показателя долга сектора государственного управления;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рассмотрение возможности финансирования приоритетных проектов путем использования механизмов, не увеличивающих долговую нагрузку на сектор государственного управления;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обеспечение финансирования бюджетного дефицита за счет внутренних источников для минимизации рисков заимствований на внешнем рынке.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Принятие указанных мер будет способствовать обеспечению макроэкономической стабильности, являющейся основой для восстановления и наращивания темпов экономического роста государств-членов, а также повышению устойчивости их экономик к негативным внешним воздействиям.</w:t>
      </w:r>
    </w:p>
    <w:p w:rsidR="00B35FC8" w:rsidRPr="00B00A54" w:rsidRDefault="00B35FC8" w:rsidP="00BF4B37">
      <w:pPr>
        <w:pStyle w:val="Bodytext40"/>
        <w:shd w:val="clear" w:color="auto" w:fill="auto"/>
        <w:spacing w:before="0" w:after="120" w:line="240" w:lineRule="auto"/>
        <w:ind w:left="2480" w:right="1600"/>
        <w:jc w:val="left"/>
        <w:rPr>
          <w:rFonts w:ascii="Sylfaen" w:hAnsi="Sylfaen"/>
          <w:sz w:val="24"/>
          <w:szCs w:val="24"/>
        </w:rPr>
      </w:pPr>
    </w:p>
    <w:p w:rsidR="00BF6A98" w:rsidRPr="00BF4B37" w:rsidRDefault="00313F75" w:rsidP="00BF4B37">
      <w:pPr>
        <w:pStyle w:val="Bodytext40"/>
        <w:shd w:val="clear" w:color="auto" w:fill="auto"/>
        <w:spacing w:before="0" w:after="120" w:line="240" w:lineRule="auto"/>
        <w:ind w:left="2480" w:right="1600"/>
        <w:jc w:val="left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 xml:space="preserve">II. Создание условий для устойчивого развития </w:t>
      </w:r>
      <w:r w:rsidRPr="00BF4B37">
        <w:rPr>
          <w:rFonts w:ascii="Sylfaen" w:hAnsi="Sylfaen"/>
          <w:sz w:val="24"/>
          <w:szCs w:val="24"/>
          <w:vertAlign w:val="superscript"/>
        </w:rPr>
        <w:t xml:space="preserve"> </w:t>
      </w:r>
      <w:r w:rsidRPr="00BF4B37">
        <w:rPr>
          <w:rFonts w:ascii="Sylfaen" w:hAnsi="Sylfaen"/>
          <w:sz w:val="24"/>
          <w:szCs w:val="24"/>
        </w:rPr>
        <w:t xml:space="preserve">и </w:t>
      </w:r>
      <w:r w:rsidRPr="00BF4B37">
        <w:rPr>
          <w:rFonts w:ascii="Sylfaen" w:hAnsi="Sylfaen"/>
          <w:sz w:val="24"/>
          <w:szCs w:val="24"/>
        </w:rPr>
        <w:lastRenderedPageBreak/>
        <w:t>восстановления экономического роста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Усиление в 2015 году внешних дестабилизирующих факторов, а также внутренних макроэкономических дисбалансов оказало негативное влияние на перспективы устойчивого экономического развития государств-членов и привело к замедлению деловой активности в ключевых секторах экономик государств-членов.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Традиционные источники экономического роста в условиях снижения внешнего спроса на основные экспортные товары государств- членов и цен на них не могут полностью обеспечивать текущие потребности национальных экономик и создавать благоприятные условия для экономического развития в средне- и долгосрочном периодах.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В связи с этим чрезвычайно важной задачей для государств-членов является развитие внутренних источников экономического роста путем</w:t>
      </w:r>
      <w:r w:rsidR="00B35FC8" w:rsidRPr="00B35FC8">
        <w:rPr>
          <w:rFonts w:ascii="Sylfaen" w:hAnsi="Sylfaen"/>
          <w:sz w:val="24"/>
          <w:szCs w:val="24"/>
        </w:rPr>
        <w:t xml:space="preserve"> </w:t>
      </w:r>
      <w:r w:rsidRPr="00BF4B37">
        <w:rPr>
          <w:rStyle w:val="Bodytext2"/>
          <w:rFonts w:ascii="Sylfaen" w:hAnsi="Sylfaen"/>
          <w:sz w:val="24"/>
          <w:szCs w:val="24"/>
        </w:rPr>
        <w:t>наращивания, диверсификации и реализации производственного потенциала государств-членов при максимальном использовании возможностей экономической интеграции в рамках Союза.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В условиях ограниченности бюджетов государств-членов для наращивания объемов внутреннего производства и повышения производительности необходимо стимулировать приток инвестиций в реальный сектор экономики и диверсифицировать источники привлечения финансовых ресурсов, позволяющих предприятиям осуществлять вложения в создание и воспроизводство основных средств. Это создаст дополнительные возможности для переоснащения и модернизации производственных мощностей с целью снижения импортозависимости и выхода национальной продукции государств- членов с высокой добавленной стоимостью и продукции, произведенной на кооперационной основе, на внешние рынки.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Расширение рынков сбыта продукции, производимой в Союзе, и содействие товарной и географической диверсификации торгово- экономических отношений государств-членов с третьими странами, а также совершенствование таможенного регулирования и развитие транзитных и смешанных перевозок будут способствовать реализации экспортного потенциала государств-членов и позволят государствам- членам не только увеличить объемы валютных поступлений, но и расширить возможности развития национального производства за счет более активного включения в глобальные производственно-сбытовые цепочки.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Значительный стимул активизации экономической деятельности в государствах-членах могут придать развитие взаимной торговли и усиление взаимодействия в наиболее важных для государств-членов</w:t>
      </w:r>
      <w:r w:rsidR="00B35FC8" w:rsidRPr="00B35FC8">
        <w:rPr>
          <w:rFonts w:ascii="Sylfaen" w:hAnsi="Sylfaen"/>
          <w:sz w:val="24"/>
          <w:szCs w:val="24"/>
        </w:rPr>
        <w:t xml:space="preserve"> </w:t>
      </w:r>
      <w:r w:rsidRPr="00BF4B37">
        <w:rPr>
          <w:rStyle w:val="Bodytext2"/>
          <w:rFonts w:ascii="Sylfaen" w:hAnsi="Sylfaen"/>
          <w:sz w:val="24"/>
          <w:szCs w:val="24"/>
        </w:rPr>
        <w:t xml:space="preserve">секторах экономики, в том числе за счет формирования и использования единого цифрового пространства. Развитию эффективного и взаимовыгодного сотрудничества в этом направлении будет способствовать использование интеграционных возможностей Союза, включая дальнейшее формирование общих и единых рынков в этих секторах экономики, а также выявление и устранение барьеров для взаимного доступа, изъятий и ограничений в отношении движения товаров, услуг, капитала и рабочей силы </w:t>
      </w:r>
      <w:r w:rsidRPr="00BF4B37">
        <w:rPr>
          <w:rStyle w:val="Bodytext2"/>
          <w:rFonts w:ascii="Sylfaen" w:hAnsi="Sylfaen"/>
          <w:sz w:val="24"/>
          <w:szCs w:val="24"/>
        </w:rPr>
        <w:lastRenderedPageBreak/>
        <w:t>государств-членов.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Для решения поставленных задач в 2016 - 2017 годах государствам-членам необходимо реализовывать следующие совместные меры в рамках Союза и национальные меры.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Диверсификация экономик государств-членов, включая: определение сфер экономики, обладающих интеграционным потенциалом;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реализацию политики импортозамещения продукции третьих стран продукцией Союза, в том числе путем развития промышленных комплексов государств-членов;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стимулирование инновационной активности и создание условий для внедрения инновационных технологий;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разработку механизмов организации проведения совместных научно-исследовательских и опытно-конструкторских работ государств- членов с целью стимулирования развития высокотехнологичных производств, в том числе в сфере агропромышленного комплекса;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реализацию комплексных мер поддержки малого и среднего бизнеса;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разработку и согласование принципов и подходов к оценке макроэкономических и отраслевых эффектов влияния интеграционных процессов на экономики государств-членов.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Расширение источников финансовых средств и повышение доступности кредитных ресурсов с целью наращивания объемов инвестиций в основной капитал, включая: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дальнейшее развитие эффективных механизмов целевого выделения финансовых средств под приоритетные проекты;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совершенствование законодательства государств-членов, регламентирующего сферу применения механизмов государственночастного партнерства, с учетом лучших международных практик, наиболее прогрессивных моделей государств-членов, наилучшего опыта третьих стран и интеграционных объединений;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активизацию заимствований на внутренних рынках государств- членов, включая использование возможностей общего рынка капитала Союза;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реализацию мер, обеспечивающих продвижение позиций государств-членов в рейтингах международных организаций, в том числе посредством обмена опытом по значимым в рамках интеграции вопросам, с целью повышения инвестиционной привлекательности экономик государств-членов;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создание условий для долгосрочного банковского кредитования, в том числе путем повышения привлекательности долгосрочных сбережений в национальных валютах государств-членов;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lastRenderedPageBreak/>
        <w:t>активизацию использования финансовых возможностей региональных институтов развития (Евразийский фонд стабилизации и развития, Евразийский банк развития).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Активизация взаимной торговли и развитие внутреннего рынка Союза, включая: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продолжение работы по выявлению и устранению препятствующих функционированию внутреннего рынка Союза барьеров для взаимного доступа, а также изъятий и ограничений в отношении движения товаров, услуг, капитала и рабочей силы;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продолжение работы по согласованию подходов по совершенствованию системы взимания косвенных налогов, направленных в том числе на предотвращение уклонения от их уплаты;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выработку предложений по формированию цифрового пространства Евразийского экономического союза;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подготовку совместного прогноза развития агропромышленного комплекса государств-членов;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подготовку прогнозов спроса и предложения государств-членов по основным видам сельскохозяйственной продукции и продовольствия;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завершение работы по определению мероприятий, направленных на формирование общего электроэнергетического рынка, а также начало их реализации;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завершение работы по определению целей, принципов и задач формирования общего рынка газа Союза, общих рынков нефти и нефтепродуктов Союза;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определение мероприятий, направленных на формирование общего рынка газа Союза, общих рынков нефти и нефтепродуктов Союза;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разработку индикативных (прогнозных) балансов газа, нефти и нефтепродуктов Союза на основе принятой методологии.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Развитие внешней торговли и диверсификация рынков сбыта, включая: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развитие торгово-экономических отношений с третьими сторонами, направленных на продвижение интересов Союза на мировом рынке;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продолжение переговоров по заключению соглашений о свободной торговле с третьими сторонами, а также совместной работы государств-членов и Евразийской экономической комиссии с торговыми партнерами государств-членов, направленной на изучение целесообразности заключения таких соглашений;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развитие и реализацию механизмов кредитования, страхования и других видов поддержки экспорта продукции, произведенной на кооперационной основе;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создание условий для организации информационного обмена с третьими сторонами, в том числе обмена информацией о товарах и транспортных средствах, перемещаемых через таможенную границу Союза;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 xml:space="preserve">развитие транзитных и смешанных перевозок с целью ускорения доставки </w:t>
      </w:r>
      <w:r w:rsidRPr="00BF4B37">
        <w:rPr>
          <w:rFonts w:ascii="Sylfaen" w:hAnsi="Sylfaen"/>
          <w:sz w:val="24"/>
          <w:szCs w:val="24"/>
        </w:rPr>
        <w:lastRenderedPageBreak/>
        <w:t>грузов и улучшения качества транспортных услуг;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создание условий для реализации совместных проектов государств-членов в сфере транспорта и инфраструктуры в рамках сопряжения процессов строительства Союза и Экономического пояса Шелкового пути с обеспечением приоритетности проектов, максимально доступных для государств-членов;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совершенствование таможенного регулирования, направленное на улучшение условий ведения внешнеэкономической деятельности, оптимизацию порядка совершения таможенных операций, внедрение</w:t>
      </w:r>
      <w:r w:rsidR="00B35FC8" w:rsidRPr="00B35FC8">
        <w:rPr>
          <w:rFonts w:ascii="Sylfaen" w:hAnsi="Sylfaen"/>
          <w:sz w:val="24"/>
          <w:szCs w:val="24"/>
        </w:rPr>
        <w:t xml:space="preserve"> </w:t>
      </w:r>
      <w:r w:rsidRPr="00BF4B37">
        <w:rPr>
          <w:rStyle w:val="Bodytext2"/>
          <w:rFonts w:ascii="Sylfaen" w:hAnsi="Sylfaen"/>
          <w:sz w:val="24"/>
          <w:szCs w:val="24"/>
        </w:rPr>
        <w:t>электронного документооборота, развитие транзитного потенциала государств-членов и Союза в целом;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совершенствование в рамках Союза единых гарантийных механизмов при таможенном транзите;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создание в государствах-членах административных, организационных и правовых условий для дальнейшего развития и сближения национальных механизмов «единого окна» государств- членов;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реализацию мер, направленных на сокращение трудовых, временных и финансовых затрат на осуществление государственных процедур, необходимых для осуществления внешнеэкономической деятельности, при повышении эффективности форм государственного контроля.</w:t>
      </w:r>
    </w:p>
    <w:p w:rsidR="00BF6A98" w:rsidRPr="00BF4B37" w:rsidRDefault="00313F75" w:rsidP="00B35FC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F4B37">
        <w:rPr>
          <w:rFonts w:ascii="Sylfaen" w:hAnsi="Sylfaen"/>
          <w:sz w:val="24"/>
          <w:szCs w:val="24"/>
        </w:rPr>
        <w:t>Выполнение указанного комплекса мер будет способствовать возвращению экономик государств-членов на траекторию устойчивого экономического роста за счет активизации и диверсификации их внутренних возможностей и использования потенциала экономической интеграции Союза.</w:t>
      </w:r>
    </w:p>
    <w:sectPr w:rsidR="00BF6A98" w:rsidRPr="00BF4B37" w:rsidSect="00BF4B37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3EB" w:rsidRDefault="006063EB" w:rsidP="00BF6A98">
      <w:r>
        <w:separator/>
      </w:r>
    </w:p>
  </w:endnote>
  <w:endnote w:type="continuationSeparator" w:id="0">
    <w:p w:rsidR="006063EB" w:rsidRDefault="006063EB" w:rsidP="00BF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3EB" w:rsidRDefault="006063EB"/>
  </w:footnote>
  <w:footnote w:type="continuationSeparator" w:id="0">
    <w:p w:rsidR="006063EB" w:rsidRDefault="006063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47F0F"/>
    <w:multiLevelType w:val="multilevel"/>
    <w:tmpl w:val="FE942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F6A98"/>
    <w:rsid w:val="00313F75"/>
    <w:rsid w:val="005279ED"/>
    <w:rsid w:val="006063EB"/>
    <w:rsid w:val="00931D9D"/>
    <w:rsid w:val="00B00A54"/>
    <w:rsid w:val="00B35FC8"/>
    <w:rsid w:val="00BF4B37"/>
    <w:rsid w:val="00BF6A98"/>
    <w:rsid w:val="00F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6A9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F6A9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F6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14pt">
    <w:name w:val="Body text (3) + 14 pt"/>
    <w:basedOn w:val="Bodytext3"/>
    <w:rsid w:val="00BF6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BF6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2pt">
    <w:name w:val="Body text (4) + Spacing 2 pt"/>
    <w:basedOn w:val="Bodytext4"/>
    <w:rsid w:val="00BF6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F6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,Body text (2) + 14 pt"/>
    <w:basedOn w:val="Bodytext2"/>
    <w:rsid w:val="00BF6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BF6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BF6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6pt">
    <w:name w:val="Body text (2) + 16 pt"/>
    <w:aliases w:val="Italic,Scale 150%"/>
    <w:basedOn w:val="Bodytext2"/>
    <w:rsid w:val="00BF6A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50"/>
      <w:position w:val="0"/>
      <w:sz w:val="32"/>
      <w:szCs w:val="32"/>
      <w:u w:val="none"/>
      <w:lang w:val="ru-RU" w:eastAsia="ru-RU" w:bidi="ru-RU"/>
    </w:rPr>
  </w:style>
  <w:style w:type="character" w:customStyle="1" w:styleId="Bodytext416pt">
    <w:name w:val="Body text (4) + 16 pt"/>
    <w:aliases w:val="Italic,Scale 150%"/>
    <w:basedOn w:val="Bodytext4"/>
    <w:rsid w:val="00BF6A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50"/>
      <w:position w:val="0"/>
      <w:sz w:val="32"/>
      <w:szCs w:val="32"/>
      <w:u w:val="none"/>
      <w:lang w:val="ru-RU" w:eastAsia="ru-RU" w:bidi="ru-RU"/>
    </w:rPr>
  </w:style>
  <w:style w:type="character" w:customStyle="1" w:styleId="Bodytext314pt0">
    <w:name w:val="Body text (3) + 14 pt"/>
    <w:aliases w:val="Spacing 2 pt"/>
    <w:basedOn w:val="Bodytext3"/>
    <w:rsid w:val="00BF6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BF6A98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al"/>
    <w:link w:val="Bodytext4"/>
    <w:rsid w:val="00BF6A98"/>
    <w:pPr>
      <w:shd w:val="clear" w:color="auto" w:fill="FFFFFF"/>
      <w:spacing w:before="240" w:line="446" w:lineRule="exact"/>
      <w:ind w:hanging="4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BF6A98"/>
    <w:pPr>
      <w:shd w:val="clear" w:color="auto" w:fill="FFFFFF"/>
      <w:spacing w:before="420" w:after="420" w:line="0" w:lineRule="atLeast"/>
      <w:ind w:hanging="4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BF6A9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3082</Words>
  <Characters>17569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5</cp:revision>
  <dcterms:created xsi:type="dcterms:W3CDTF">2016-11-10T10:44:00Z</dcterms:created>
  <dcterms:modified xsi:type="dcterms:W3CDTF">2017-05-26T11:15:00Z</dcterms:modified>
</cp:coreProperties>
</file>