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F6" w:rsidRPr="00882276" w:rsidRDefault="00671EF9" w:rsidP="00F45DB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82276">
        <w:rPr>
          <w:rFonts w:ascii="Sylfaen" w:hAnsi="Sylfaen"/>
          <w:sz w:val="24"/>
          <w:szCs w:val="24"/>
        </w:rPr>
        <w:t>ՀԱՍՏԱՏՎԱԾ Է</w:t>
      </w:r>
    </w:p>
    <w:p w:rsidR="00D046F6" w:rsidRPr="00882276" w:rsidRDefault="00671EF9" w:rsidP="00F45DB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Եվրասիական միջկառավարական խորհրդի </w:t>
      </w:r>
      <w:r w:rsidR="00066C4A" w:rsidRPr="00882276">
        <w:rPr>
          <w:rFonts w:ascii="Sylfaen" w:hAnsi="Sylfaen"/>
          <w:sz w:val="24"/>
          <w:szCs w:val="24"/>
        </w:rPr>
        <w:t>2</w:t>
      </w:r>
      <w:r w:rsidRPr="00882276">
        <w:rPr>
          <w:rFonts w:ascii="Sylfaen" w:hAnsi="Sylfaen"/>
          <w:sz w:val="24"/>
          <w:szCs w:val="24"/>
        </w:rPr>
        <w:t xml:space="preserve">016 թվականի ապրիլի 13-ի </w:t>
      </w:r>
      <w:r w:rsidR="00066C4A" w:rsidRPr="00882276">
        <w:rPr>
          <w:rFonts w:ascii="Sylfaen" w:hAnsi="Sylfaen"/>
          <w:sz w:val="24"/>
          <w:szCs w:val="24"/>
        </w:rPr>
        <w:t xml:space="preserve">թիվ 2 </w:t>
      </w:r>
      <w:r w:rsidRPr="00882276">
        <w:rPr>
          <w:rFonts w:ascii="Sylfaen" w:hAnsi="Sylfaen"/>
          <w:sz w:val="24"/>
          <w:szCs w:val="24"/>
        </w:rPr>
        <w:t xml:space="preserve">որոշմամբ </w:t>
      </w:r>
    </w:p>
    <w:p w:rsidR="0081569C" w:rsidRPr="00882276" w:rsidRDefault="0081569C" w:rsidP="00165882">
      <w:pPr>
        <w:pStyle w:val="Bodytext20"/>
        <w:shd w:val="clear" w:color="auto" w:fill="auto"/>
        <w:spacing w:before="0" w:after="160" w:line="360" w:lineRule="auto"/>
        <w:ind w:left="4536" w:firstLine="420"/>
        <w:jc w:val="center"/>
        <w:rPr>
          <w:rFonts w:ascii="Sylfaen" w:hAnsi="Sylfaen"/>
          <w:sz w:val="24"/>
          <w:szCs w:val="24"/>
        </w:rPr>
      </w:pPr>
    </w:p>
    <w:p w:rsidR="00D046F6" w:rsidRPr="00882276" w:rsidRDefault="00671EF9" w:rsidP="00165882">
      <w:pPr>
        <w:pStyle w:val="Bodytext30"/>
        <w:shd w:val="clear" w:color="auto" w:fill="auto"/>
        <w:spacing w:before="0" w:after="160" w:line="360" w:lineRule="auto"/>
        <w:ind w:right="1"/>
        <w:rPr>
          <w:rFonts w:ascii="Sylfaen" w:hAnsi="Sylfaen"/>
          <w:sz w:val="24"/>
          <w:szCs w:val="24"/>
        </w:rPr>
      </w:pPr>
      <w:r w:rsidRPr="00882276">
        <w:rPr>
          <w:rStyle w:val="Bodytext315pt0"/>
          <w:rFonts w:ascii="Sylfaen" w:hAnsi="Sylfaen"/>
          <w:b/>
          <w:spacing w:val="0"/>
          <w:sz w:val="24"/>
          <w:szCs w:val="24"/>
        </w:rPr>
        <w:t>ՀԻՄՆԱԴՐՈՒՅԹ</w:t>
      </w:r>
    </w:p>
    <w:p w:rsidR="00D046F6" w:rsidRPr="00882276" w:rsidRDefault="00671EF9" w:rsidP="00165882">
      <w:pPr>
        <w:pStyle w:val="Bodytext30"/>
        <w:shd w:val="clear" w:color="auto" w:fill="auto"/>
        <w:spacing w:before="0" w:after="160" w:line="360" w:lineRule="auto"/>
        <w:ind w:right="1"/>
        <w:rPr>
          <w:rStyle w:val="Bodytext315pt"/>
          <w:rFonts w:ascii="Sylfaen" w:hAnsi="Sylfaen"/>
          <w:b/>
          <w:bCs/>
          <w:sz w:val="24"/>
          <w:szCs w:val="24"/>
        </w:rPr>
      </w:pPr>
      <w:r w:rsidRPr="00882276">
        <w:rPr>
          <w:rStyle w:val="Bodytext315pt"/>
          <w:rFonts w:ascii="Sylfaen" w:hAnsi="Sylfaen"/>
          <w:b/>
          <w:sz w:val="24"/>
          <w:szCs w:val="24"/>
        </w:rPr>
        <w:t>Եվրասիական տեխնոլոգիական հարթակների ձ</w:t>
      </w:r>
      <w:r w:rsidR="00D93838">
        <w:rPr>
          <w:rStyle w:val="Bodytext315pt"/>
          <w:rFonts w:ascii="Sylfaen" w:hAnsi="Sylfaen"/>
          <w:b/>
          <w:sz w:val="24"/>
          <w:szCs w:val="24"/>
        </w:rPr>
        <w:t>եւ</w:t>
      </w:r>
      <w:r w:rsidRPr="00882276">
        <w:rPr>
          <w:rStyle w:val="Bodytext315pt"/>
          <w:rFonts w:ascii="Sylfaen" w:hAnsi="Sylfaen"/>
          <w:b/>
          <w:sz w:val="24"/>
          <w:szCs w:val="24"/>
        </w:rPr>
        <w:t xml:space="preserve">ավորման </w:t>
      </w:r>
      <w:r w:rsidR="00D93838">
        <w:rPr>
          <w:rStyle w:val="Bodytext315pt"/>
          <w:rFonts w:ascii="Sylfaen" w:hAnsi="Sylfaen"/>
          <w:b/>
          <w:sz w:val="24"/>
          <w:szCs w:val="24"/>
        </w:rPr>
        <w:t>եւ</w:t>
      </w:r>
      <w:r w:rsidRPr="00882276">
        <w:rPr>
          <w:rStyle w:val="Bodytext315pt"/>
          <w:rFonts w:ascii="Sylfaen" w:hAnsi="Sylfaen"/>
          <w:b/>
          <w:sz w:val="24"/>
          <w:szCs w:val="24"/>
        </w:rPr>
        <w:t xml:space="preserve"> գործառման մասին</w:t>
      </w:r>
    </w:p>
    <w:p w:rsidR="0081569C" w:rsidRPr="00882276" w:rsidRDefault="0081569C" w:rsidP="00882276">
      <w:pPr>
        <w:pStyle w:val="Bodytext30"/>
        <w:shd w:val="clear" w:color="auto" w:fill="auto"/>
        <w:spacing w:before="0" w:after="160" w:line="360" w:lineRule="auto"/>
        <w:ind w:right="240"/>
        <w:rPr>
          <w:rFonts w:ascii="Sylfaen" w:hAnsi="Sylfaen"/>
          <w:sz w:val="24"/>
          <w:szCs w:val="24"/>
        </w:rPr>
      </w:pPr>
    </w:p>
    <w:p w:rsidR="00D046F6" w:rsidRPr="00882276" w:rsidRDefault="0081569C" w:rsidP="0088227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I. Ընդհանուր դրույթներ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1.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Սույն </w:t>
      </w:r>
      <w:r w:rsidR="009E32EB" w:rsidRPr="00882276">
        <w:rPr>
          <w:rFonts w:ascii="Sylfaen" w:hAnsi="Sylfaen"/>
          <w:sz w:val="24"/>
          <w:szCs w:val="24"/>
        </w:rPr>
        <w:t>հ</w:t>
      </w:r>
      <w:r w:rsidRPr="00882276">
        <w:rPr>
          <w:rFonts w:ascii="Sylfaen" w:hAnsi="Sylfaen"/>
          <w:sz w:val="24"/>
          <w:szCs w:val="24"/>
        </w:rPr>
        <w:t xml:space="preserve">իմնադրույթը մշակվել է՝ «Եվրասիական տնտեսական միության մասին» 2014 թվականի մայիսի 29-ի պայմանագրի 92-րդ հոդվածին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Եվրասիական միջկառավարական խորհրդի 2015 թվականի սեպտեմբերի 8-ի թիվ 9 որոշմամբ հաստատված՝ Եվրասիական տնտեսական միության շրջանակներում արդյունաբերական համագործակցության հիմնական ուղղություններին համապատասխան. դրանով սահմանվում է եվրասիական տեխնոլոգիական հարթակների գործառման նպատակն ու խնդիրները</w:t>
      </w:r>
      <w:r w:rsidR="009E32EB" w:rsidRPr="00882276">
        <w:rPr>
          <w:rFonts w:ascii="Sylfaen" w:hAnsi="Sylfaen"/>
          <w:sz w:val="24"/>
          <w:szCs w:val="24"/>
        </w:rPr>
        <w:t>,</w:t>
      </w:r>
      <w:r w:rsidRPr="00882276">
        <w:rPr>
          <w:rFonts w:ascii="Sylfaen" w:hAnsi="Sylfaen"/>
          <w:sz w:val="24"/>
          <w:szCs w:val="24"/>
        </w:rPr>
        <w:t xml:space="preserve"> որպես Եվրասիական տնտեսական միության անդամ պետությունների նորարարական ենթակառուցվածքի օբյեկտներ (այսուհետ համապատասխանաբար՝ Միություն, անդամ պետություններ)</w:t>
      </w:r>
      <w:r w:rsidR="009E32EB" w:rsidRPr="00882276">
        <w:rPr>
          <w:rFonts w:ascii="Sylfaen" w:hAnsi="Sylfaen"/>
          <w:sz w:val="24"/>
          <w:szCs w:val="24"/>
        </w:rPr>
        <w:t>՝</w:t>
      </w:r>
      <w:r w:rsidRPr="00882276">
        <w:rPr>
          <w:rFonts w:ascii="Sylfaen" w:hAnsi="Sylfaen"/>
          <w:sz w:val="24"/>
          <w:szCs w:val="24"/>
        </w:rPr>
        <w:t xml:space="preserve"> դրանց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ավորման, գործառման, ֆինանսավորման կարգը: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2.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Եվրասիական տեխնոլոգիական հարթակների շնորհիվ ապահովվում է համակարգային աշխատանք՝ ուղղված գիտատեխնիկական զարգացման գործում առաջատար ազգային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համաշխարհային ձեռքբերումների կուտակմանը, անդամ պետությունների գիտական ներուժի մոբիլիզացմանը՝ նորարարական պրոդուկտների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տեխնոլոգիաների մշակման, դրանք արդյունաբերական արտադրության մեջ ներդնելու մասով կիրառական խնդիրների համատեղ լուծման համար:</w:t>
      </w:r>
    </w:p>
    <w:p w:rsidR="00D046F6" w:rsidRPr="00882276" w:rsidRDefault="00165882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 xml:space="preserve">Սույն </w:t>
      </w:r>
      <w:r w:rsidR="009E32EB" w:rsidRPr="00882276">
        <w:rPr>
          <w:rFonts w:ascii="Sylfaen" w:hAnsi="Sylfaen"/>
          <w:sz w:val="24"/>
          <w:szCs w:val="24"/>
        </w:rPr>
        <w:t>հ</w:t>
      </w:r>
      <w:r w:rsidR="0081569C" w:rsidRPr="00882276">
        <w:rPr>
          <w:rFonts w:ascii="Sylfaen" w:hAnsi="Sylfaen"/>
          <w:sz w:val="24"/>
          <w:szCs w:val="24"/>
        </w:rPr>
        <w:t>իմնադրույթի նպատակներով կիրառվում են հետ</w:t>
      </w:r>
      <w:r w:rsidR="00D93838">
        <w:rPr>
          <w:rFonts w:ascii="Sylfaen" w:hAnsi="Sylfaen"/>
          <w:sz w:val="24"/>
          <w:szCs w:val="24"/>
        </w:rPr>
        <w:t>եւ</w:t>
      </w:r>
      <w:r w:rsidR="0081569C" w:rsidRPr="00882276">
        <w:rPr>
          <w:rFonts w:ascii="Sylfaen" w:hAnsi="Sylfaen"/>
          <w:sz w:val="24"/>
          <w:szCs w:val="24"/>
        </w:rPr>
        <w:t>յալ հասկացությունները՝</w:t>
      </w:r>
    </w:p>
    <w:p w:rsidR="00D046F6" w:rsidRPr="00882276" w:rsidRDefault="00D50F5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b/>
          <w:sz w:val="24"/>
          <w:szCs w:val="24"/>
        </w:rPr>
        <w:t>եվրասիական տեխնոլոգիական հարթակներ</w:t>
      </w:r>
      <w:r w:rsidR="00671EF9" w:rsidRPr="00882276">
        <w:rPr>
          <w:rFonts w:ascii="Sylfaen" w:hAnsi="Sylfaen"/>
          <w:sz w:val="24"/>
          <w:szCs w:val="24"/>
        </w:rPr>
        <w:t xml:space="preserve">՝ նորարարական ենթակառուցվածքի օբյեկտներ, որոնք հնարավորություն են տալիս ապահովելու արդյունավետ հաղորդակցություն </w:t>
      </w:r>
      <w:r w:rsidR="00D93838">
        <w:rPr>
          <w:rFonts w:ascii="Sylfaen" w:hAnsi="Sylfaen"/>
          <w:sz w:val="24"/>
          <w:szCs w:val="24"/>
        </w:rPr>
        <w:t>եւ</w:t>
      </w:r>
      <w:r w:rsidR="00671EF9" w:rsidRPr="00882276">
        <w:rPr>
          <w:rFonts w:ascii="Sylfaen" w:hAnsi="Sylfaen"/>
          <w:sz w:val="24"/>
          <w:szCs w:val="24"/>
        </w:rPr>
        <w:t xml:space="preserve"> բոլոր շահագրգիռ կողմերի</w:t>
      </w:r>
      <w:r w:rsidR="00214474" w:rsidRPr="00882276">
        <w:rPr>
          <w:rFonts w:ascii="Sylfaen" w:hAnsi="Sylfaen"/>
          <w:sz w:val="24"/>
          <w:szCs w:val="24"/>
        </w:rPr>
        <w:t xml:space="preserve"> </w:t>
      </w:r>
      <w:r w:rsidR="00671EF9" w:rsidRPr="00882276">
        <w:rPr>
          <w:rFonts w:ascii="Sylfaen" w:hAnsi="Sylfaen"/>
          <w:sz w:val="24"/>
          <w:szCs w:val="24"/>
        </w:rPr>
        <w:t>(գործարարության, գիտության, պետության, հասարակական կազմակերպությունների) մասնակցության հիման վրա ստեղծելու հեռանկարային առ</w:t>
      </w:r>
      <w:r w:rsidR="00D93838">
        <w:rPr>
          <w:rFonts w:ascii="Sylfaen" w:hAnsi="Sylfaen"/>
          <w:sz w:val="24"/>
          <w:szCs w:val="24"/>
        </w:rPr>
        <w:t>եւ</w:t>
      </w:r>
      <w:r w:rsidR="00671EF9" w:rsidRPr="00882276">
        <w:rPr>
          <w:rFonts w:ascii="Sylfaen" w:hAnsi="Sylfaen"/>
          <w:sz w:val="24"/>
          <w:szCs w:val="24"/>
        </w:rPr>
        <w:t>տրային տեխնոլոգիաներ, բարձր տեխնոլոգիական, նորարարական եւ մրցունակ արտադրանք.</w:t>
      </w:r>
    </w:p>
    <w:p w:rsidR="00D046F6" w:rsidRPr="00882276" w:rsidRDefault="00D50F5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b/>
          <w:sz w:val="24"/>
          <w:szCs w:val="24"/>
        </w:rPr>
        <w:t>համատեղ նախագիծ</w:t>
      </w:r>
      <w:r w:rsidR="00671EF9" w:rsidRPr="00882276">
        <w:rPr>
          <w:rFonts w:ascii="Sylfaen" w:hAnsi="Sylfaen"/>
          <w:sz w:val="24"/>
          <w:szCs w:val="24"/>
        </w:rPr>
        <w:t xml:space="preserve">՝ եվրասիական տեխնոլոգիական հարթակների շրջանակներում անդամ պետությունների կազմակերպությունների կողմից համատեղ իրագործվող, </w:t>
      </w:r>
      <w:r w:rsidR="00214474" w:rsidRPr="00882276">
        <w:rPr>
          <w:rFonts w:ascii="Sylfaen" w:hAnsi="Sylfaen"/>
          <w:sz w:val="24"/>
          <w:szCs w:val="24"/>
        </w:rPr>
        <w:t>համագործակցային</w:t>
      </w:r>
      <w:r w:rsidR="00671EF9" w:rsidRPr="00882276">
        <w:rPr>
          <w:rFonts w:ascii="Sylfaen" w:hAnsi="Sylfaen"/>
          <w:sz w:val="24"/>
          <w:szCs w:val="24"/>
        </w:rPr>
        <w:t xml:space="preserve"> կապերի զարգացմանն ուղղված նորարարական նախագիծ.</w:t>
      </w:r>
    </w:p>
    <w:p w:rsidR="00D046F6" w:rsidRPr="00882276" w:rsidRDefault="00D50F5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b/>
          <w:sz w:val="24"/>
          <w:szCs w:val="24"/>
        </w:rPr>
        <w:t>անդամ պետության լիազորված մարմին</w:t>
      </w:r>
      <w:r w:rsidR="00671EF9" w:rsidRPr="00882276">
        <w:rPr>
          <w:rFonts w:ascii="Sylfaen" w:hAnsi="Sylfaen"/>
          <w:sz w:val="24"/>
          <w:szCs w:val="24"/>
        </w:rPr>
        <w:t xml:space="preserve">՝ պետական իշխանության մարմին կամ կազմակերպություն, </w:t>
      </w:r>
      <w:r w:rsidR="00214474" w:rsidRPr="00882276">
        <w:rPr>
          <w:rFonts w:ascii="Sylfaen" w:hAnsi="Sylfaen"/>
          <w:sz w:val="24"/>
          <w:szCs w:val="24"/>
        </w:rPr>
        <w:t xml:space="preserve">որն </w:t>
      </w:r>
      <w:r w:rsidR="00671EF9" w:rsidRPr="00882276">
        <w:rPr>
          <w:rFonts w:ascii="Sylfaen" w:hAnsi="Sylfaen"/>
          <w:sz w:val="24"/>
          <w:szCs w:val="24"/>
        </w:rPr>
        <w:t>անդամ պետության կողմից լիազորված է իր տարածքում եվրասիական տեխնոլոգիական հարթակների գործունեության համակարգում իրականացնելու համար:</w:t>
      </w:r>
      <w:r w:rsidR="00D93838">
        <w:rPr>
          <w:rFonts w:ascii="Sylfaen" w:hAnsi="Sylfaen"/>
          <w:sz w:val="24"/>
          <w:szCs w:val="24"/>
        </w:rPr>
        <w:t xml:space="preserve"> </w:t>
      </w:r>
    </w:p>
    <w:p w:rsidR="0081569C" w:rsidRPr="00882276" w:rsidRDefault="0081569C" w:rsidP="00CE3B52">
      <w:pPr>
        <w:pStyle w:val="Bodytext20"/>
        <w:shd w:val="clear" w:color="auto" w:fill="auto"/>
        <w:spacing w:before="0" w:after="160" w:line="360" w:lineRule="auto"/>
        <w:ind w:left="2268" w:right="2280" w:firstLine="0"/>
        <w:jc w:val="center"/>
        <w:rPr>
          <w:rFonts w:ascii="Sylfaen" w:hAnsi="Sylfaen"/>
          <w:sz w:val="24"/>
          <w:szCs w:val="24"/>
        </w:rPr>
      </w:pPr>
    </w:p>
    <w:p w:rsidR="00D046F6" w:rsidRPr="00882276" w:rsidRDefault="0081569C" w:rsidP="00165882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II. Եվրասիական տեխնոլոգիական հարթակների գործ</w:t>
      </w:r>
      <w:r w:rsidR="00214474" w:rsidRPr="00882276">
        <w:rPr>
          <w:rFonts w:ascii="Sylfaen" w:hAnsi="Sylfaen"/>
          <w:sz w:val="24"/>
          <w:szCs w:val="24"/>
        </w:rPr>
        <w:t>առման</w:t>
      </w:r>
      <w:r w:rsidRPr="00882276">
        <w:rPr>
          <w:rFonts w:ascii="Sylfaen" w:hAnsi="Sylfaen"/>
          <w:sz w:val="24"/>
          <w:szCs w:val="24"/>
        </w:rPr>
        <w:t xml:space="preserve"> նպատակը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խնդիրները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4.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Գիտատեխնիկական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նորարարական ոլորտներում </w:t>
      </w:r>
      <w:r w:rsidR="00214474" w:rsidRPr="00882276">
        <w:rPr>
          <w:rFonts w:ascii="Sylfaen" w:hAnsi="Sylfaen"/>
          <w:sz w:val="24"/>
          <w:szCs w:val="24"/>
        </w:rPr>
        <w:t>համագործակցությունն</w:t>
      </w:r>
      <w:r w:rsidRPr="00882276">
        <w:rPr>
          <w:rFonts w:ascii="Sylfaen" w:hAnsi="Sylfaen"/>
          <w:sz w:val="24"/>
          <w:szCs w:val="24"/>
        </w:rPr>
        <w:t xml:space="preserve"> ապահովող եվրասիական տեխնոլոգիական հարթակների գործառման նպատակն է անդամ պետությունների ներուժերի միավորման հիման վրա բարձրացնել բոլոր շահագրգիռ կողմերի (գործարարության, գիտության, պետության, հասարակական կազմակերպությունների) փոխգործակցության արդյունավետությունը՝ ազգային արդյունաբերական համալիրների փոխշահավետ նորարարական զարգացումը խթանելու, անդամ պետություններում </w:t>
      </w:r>
      <w:r w:rsidRPr="00882276">
        <w:rPr>
          <w:rFonts w:ascii="Sylfaen" w:hAnsi="Sylfaen"/>
          <w:sz w:val="24"/>
          <w:szCs w:val="24"/>
        </w:rPr>
        <w:lastRenderedPageBreak/>
        <w:t>կոմպետենտության կենտրոններ ստեղծելու, ապագայի տնտեսություն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ավորելու, շարունակական տեխնոլոգիական նորացման, արդյունաբերության ոլորտում գլոբալ մրցունակությունը բարձրացնելու նպատակով: 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5.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Սույն </w:t>
      </w:r>
      <w:r w:rsidR="00CE30D1" w:rsidRPr="00882276">
        <w:rPr>
          <w:rFonts w:ascii="Sylfaen" w:hAnsi="Sylfaen"/>
          <w:sz w:val="24"/>
          <w:szCs w:val="24"/>
        </w:rPr>
        <w:t>հ</w:t>
      </w:r>
      <w:r w:rsidRPr="00882276">
        <w:rPr>
          <w:rFonts w:ascii="Sylfaen" w:hAnsi="Sylfaen"/>
          <w:sz w:val="24"/>
          <w:szCs w:val="24"/>
        </w:rPr>
        <w:t>իմնադրույթի 4-րդ կետում նշված նպատակին հասնելու համար եվրասիական տեխնոլոգիական հարթակների մասնակիցները կատարում են հետ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յալ խնդիրները՝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ա)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անդամ պետությունների տնտեսության իրական հատվածի համար նոր տեխնոլոգիաների անհրաժեշտությունը որոշելը. 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բ)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գերակա գիտատեխնիկական նախագծեր որոնելը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</w:t>
      </w:r>
      <w:r w:rsidR="00214474" w:rsidRPr="00882276">
        <w:rPr>
          <w:rFonts w:ascii="Sylfaen" w:hAnsi="Sylfaen"/>
          <w:sz w:val="24"/>
          <w:szCs w:val="24"/>
        </w:rPr>
        <w:t xml:space="preserve">դրանց </w:t>
      </w:r>
      <w:r w:rsidRPr="00882276">
        <w:rPr>
          <w:rFonts w:ascii="Sylfaen" w:hAnsi="Sylfaen"/>
          <w:sz w:val="24"/>
          <w:szCs w:val="24"/>
        </w:rPr>
        <w:t>օժանդակելը.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գ)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անդամ պետությունների համագործակցությունը կարգավորելը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համատեղ նախաձեռնություններին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համատեղ նախագծերին աջակցելը.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դ)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անդամ պետությունների գիտատեխնիկական զարգացմանը խոչընդոտող արգելքներ բացահայտելը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դրանց վերացմանն ուղղված </w:t>
      </w:r>
      <w:r w:rsidR="00214474" w:rsidRPr="00882276">
        <w:rPr>
          <w:rFonts w:ascii="Sylfaen" w:hAnsi="Sylfaen"/>
          <w:sz w:val="24"/>
          <w:szCs w:val="24"/>
        </w:rPr>
        <w:t xml:space="preserve">առաջարկություններ </w:t>
      </w:r>
      <w:r w:rsidRPr="00882276">
        <w:rPr>
          <w:rFonts w:ascii="Sylfaen" w:hAnsi="Sylfaen"/>
          <w:sz w:val="24"/>
          <w:szCs w:val="24"/>
        </w:rPr>
        <w:t>մշակելը.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ե)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գիտատեխնիկական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նորարարական ոլորտներում անդամ պետությունների համագործակցության հարցերի </w:t>
      </w:r>
      <w:r w:rsidR="00214474" w:rsidRPr="00882276">
        <w:rPr>
          <w:rFonts w:ascii="Sylfaen" w:hAnsi="Sylfaen"/>
          <w:sz w:val="24"/>
          <w:szCs w:val="24"/>
        </w:rPr>
        <w:t xml:space="preserve">վերաբերյալ </w:t>
      </w:r>
      <w:r w:rsidRPr="00882276">
        <w:rPr>
          <w:rFonts w:ascii="Sylfaen" w:hAnsi="Sylfaen"/>
          <w:sz w:val="24"/>
          <w:szCs w:val="24"/>
        </w:rPr>
        <w:t>փաստաթղթերի կատարելագործմանը օժանդակելը.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զ)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անդամ պետությունների գիտատեխնիկական զարգացման ձեռքբերումները, ինչպես նա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եվրասիական տեխնոլոգիական հարթակների շրջանակներում ունեցած ձեռքբերումները մասսայականացնելը.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է)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անդամ պետությունների գիտատեխնիկական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նորարարական համագործակցության արդյունքները դիտանցելը:</w:t>
      </w:r>
    </w:p>
    <w:p w:rsidR="0081569C" w:rsidRPr="00882276" w:rsidRDefault="0081569C" w:rsidP="00CE3B52">
      <w:pPr>
        <w:pStyle w:val="Bodytext20"/>
        <w:shd w:val="clear" w:color="auto" w:fill="auto"/>
        <w:spacing w:before="0" w:after="160" w:line="360" w:lineRule="auto"/>
        <w:ind w:right="340" w:firstLine="0"/>
        <w:jc w:val="center"/>
        <w:rPr>
          <w:rFonts w:ascii="Sylfaen" w:hAnsi="Sylfaen"/>
          <w:sz w:val="24"/>
          <w:szCs w:val="24"/>
        </w:rPr>
      </w:pPr>
    </w:p>
    <w:p w:rsidR="00D046F6" w:rsidRPr="00882276" w:rsidRDefault="0081569C" w:rsidP="00165882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III. Եվրասիական տեխնոլոգիական հարթակների գործունեության ուղղությունները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6.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մասնակիցները, իրենց խնդիրներին համապատասխան, անցկացնում են աշխատանք՝ գործունեության հետ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յալ հիմնական ուղղություններով (իրավասության շրջանակներում)՝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ա)</w:t>
      </w:r>
      <w:r w:rsidR="00165882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անդամ պետությունների գիտատեխնիկական զարգացման ձեռքբերումների, ինչպես նա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եվրասիական տեխնոլոգիական հարթակների շրջանակներում ունեցած ձեռքբերումների մասսայականացման մասով խնդիրները լուծելու նպատակով՝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կատարում են անդամ պետությունների գիտատեխնիկական զարգացման առաջատար ձեռքբերումների վերլուծություն,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կատարում են գիտատեխնիկական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նորարարական ոլորտներում համաշխարհային պրակտիկայի վերլուծություն,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ավորում են (անհրաժեշտության դեպքում) առաջատար տեխնոլոգիաների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արտադրանքի միասնական ռեեստրներ,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ավորում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 xml:space="preserve">են տեղեկատվական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հաղորդակցական համակարգեր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պորտալներ, որոնցով ապահովվում են տեղեկատվական բազաների մատչելիությունը</w:t>
      </w:r>
      <w:r w:rsidR="00D93838">
        <w:rPr>
          <w:rFonts w:ascii="Sylfaen" w:hAnsi="Sylfaen"/>
          <w:sz w:val="24"/>
          <w:szCs w:val="24"/>
        </w:rPr>
        <w:t xml:space="preserve"> եւ</w:t>
      </w:r>
      <w:r w:rsidRPr="00882276">
        <w:rPr>
          <w:rFonts w:ascii="Sylfaen" w:hAnsi="Sylfaen"/>
          <w:sz w:val="24"/>
          <w:szCs w:val="24"/>
        </w:rPr>
        <w:t xml:space="preserve"> անդամ պետությունների բոլոր շահագրգիռ կազմակերպությունների հաղորդակցությունը</w:t>
      </w:r>
      <w:r w:rsidR="00CE30D1" w:rsidRPr="00882276">
        <w:rPr>
          <w:rFonts w:ascii="Sylfaen" w:hAnsi="Sylfaen"/>
          <w:sz w:val="24"/>
          <w:szCs w:val="24"/>
        </w:rPr>
        <w:t>՝</w:t>
      </w:r>
      <w:r w:rsidR="00214474" w:rsidRPr="00882276">
        <w:rPr>
          <w:rFonts w:ascii="Sylfaen" w:hAnsi="Sylfaen"/>
          <w:sz w:val="24"/>
          <w:szCs w:val="24"/>
        </w:rPr>
        <w:t xml:space="preserve"> առաջատար տեխնոլոգիաների ու արտադրանքի զարգացման </w:t>
      </w:r>
      <w:r w:rsidR="00D93838">
        <w:rPr>
          <w:rFonts w:ascii="Sylfaen" w:hAnsi="Sylfaen"/>
          <w:sz w:val="24"/>
          <w:szCs w:val="24"/>
        </w:rPr>
        <w:t>եւ</w:t>
      </w:r>
      <w:r w:rsidR="00214474" w:rsidRPr="00882276">
        <w:rPr>
          <w:rFonts w:ascii="Sylfaen" w:hAnsi="Sylfaen"/>
          <w:sz w:val="24"/>
          <w:szCs w:val="24"/>
        </w:rPr>
        <w:t xml:space="preserve"> յուրացման մասով</w:t>
      </w:r>
      <w:r w:rsidRPr="00882276">
        <w:rPr>
          <w:rFonts w:ascii="Sylfaen" w:hAnsi="Sylfaen"/>
          <w:sz w:val="24"/>
          <w:szCs w:val="24"/>
        </w:rPr>
        <w:t>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իրականացնում են առաջատար ազգային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համաշխարհային ձեռքբերումների վերաբերյալ գիտելիքների տարածում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մասսայականացում, այդ թվում՝ զանգվածային լրատվամիջոցներում հրապարակումների միջոցով,</w:t>
      </w:r>
      <w:r w:rsidRPr="00882276">
        <w:rPr>
          <w:rFonts w:ascii="Sylfaen" w:hAnsi="Sylfaen"/>
          <w:sz w:val="24"/>
          <w:szCs w:val="24"/>
        </w:rPr>
        <w:br/>
        <w:t xml:space="preserve">կողմնակի միջոցառումներին մասնակցելու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սեփական միջոցառումները կազմակերպելու միջոցով, առաջատար տեխնոլոգիաների յուրացման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ժամանակակից կադրերի պատրաստման հարցում խորհրդատվական օժանդակություն իրականացնելու միջոցով. 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բ)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անդամ պետությունների տնտեսության իրական հատվածի համար նոր տեխնոլոգիաների անհրաժեշտությունը որոշելու մասով խնդիրը լուծելու համար՝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անցկացնում են անդամ պետությունների տնտեսության իրական հատվածի կազմակերպությունների տեխնոլոգիաների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արտադրանքի զարգացման մակարդակի գնահատում, դրանց համադրումը օտարերկրյա անալոգների</w:t>
      </w:r>
      <w:r w:rsidR="008228B9" w:rsidRPr="00882276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>հետ,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ավորում են նոր տեխնոլոգիաների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արտադրատեսակների անհրաժեշտության վերաբերյալ միասնական ռեեստրներ</w:t>
      </w:r>
      <w:r w:rsidR="008228B9" w:rsidRPr="00882276">
        <w:rPr>
          <w:rFonts w:ascii="Sylfaen" w:hAnsi="Sylfaen"/>
          <w:sz w:val="24"/>
          <w:szCs w:val="24"/>
        </w:rPr>
        <w:t>՝</w:t>
      </w:r>
      <w:r w:rsidRPr="00882276">
        <w:rPr>
          <w:rFonts w:ascii="Sylfaen" w:hAnsi="Sylfaen"/>
          <w:sz w:val="24"/>
          <w:szCs w:val="24"/>
        </w:rPr>
        <w:t xml:space="preserve"> անդամ պետությունների տնտեսության իրական հատվածի կազմակերպությունների հայտերի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առաջարկների հիման վրա,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մշակում են անդամ պետությունների տնտեսության այն ճյուղերում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հատվածներում շուկաների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տեխնոլոգիաների զարգացման կանխատեսումներ, որոնցում իրենց գործունեությունն են իրականացնում եվրասիական տեխնոլոգիական հարթակները, այդ թվում՝ նորարարական արտադրանքի հիմնական տեսակների պահանջարկի կանխատեսումներ,</w:t>
      </w:r>
    </w:p>
    <w:p w:rsidR="00D046F6" w:rsidRPr="00882276" w:rsidRDefault="00671EF9" w:rsidP="00F45DB5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մշակում են անդամ պետությունների տնտեսության իրական հատվածի կազմակերպությունների առաջատար տեխնոլոգիաները յուրացնելու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արտադրանքն արտադրելու վերաբերյալ առաջարկներ, որոնք պարունակում են տարբեր տեխնոլոգիական այլընտրանքների մշակում,</w:t>
      </w:r>
    </w:p>
    <w:p w:rsidR="00D046F6" w:rsidRPr="00882276" w:rsidRDefault="00671EF9" w:rsidP="00F45DB5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օժանդակում են անդամ պետությունների տարածքներում առաջատար տեխնոլոգիաների առաջխաղացմանն ուղղված գիտական, նախագծային, արտադրական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այլ միավորումների կազմակերպմանը.</w:t>
      </w:r>
    </w:p>
    <w:p w:rsidR="00D046F6" w:rsidRPr="00882276" w:rsidRDefault="00671EF9" w:rsidP="00F45DB5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գ)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գերակա գիտատեխնիկական նախագծեր որոնելու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դրանց զարգացմանն օժանդակելու մասով խնդիրը լուծելու համար կարող են անդամ պետությունների օրենսդրությամբ սահմանված կարգով անդամ պետությունների արդյունաբերության զարգացման ճյուղային ծրագրերում առաջարկներ ներկայացնել.</w:t>
      </w:r>
    </w:p>
    <w:p w:rsidR="00D046F6" w:rsidRPr="00882276" w:rsidRDefault="00671EF9" w:rsidP="00F45DB5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դ)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անդամ պետությունների համագործակցությունը կարգավորելու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համատեղ նախաձեռնություններին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համատեղ ծրագրերին աջակցելու խնդիրը լուծելու համար՝</w:t>
      </w:r>
    </w:p>
    <w:p w:rsidR="00D046F6" w:rsidRPr="00882276" w:rsidRDefault="00671EF9" w:rsidP="00F45DB5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մասնակցում են անդամ պետությունների համագործակցության գիտատեխնիկական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նորարարական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 xml:space="preserve">ոլորտներում գերակա ուղղությունների իրագործմանը՝ համատեղ նախաձեռնություններ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համատեղ նախագծեր պարունակող նախագծային առաջարկների փաթեթ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ավորելու միջոցով,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աջակցում են մասնակիցներին իրականացնելու համատեղ նախագծեր</w:t>
      </w:r>
      <w:r w:rsidR="00580918" w:rsidRPr="00882276">
        <w:rPr>
          <w:rFonts w:ascii="Sylfaen" w:hAnsi="Sylfaen"/>
          <w:sz w:val="24"/>
          <w:szCs w:val="24"/>
        </w:rPr>
        <w:t>՝</w:t>
      </w:r>
      <w:r w:rsidRPr="00882276">
        <w:rPr>
          <w:rFonts w:ascii="Sylfaen" w:hAnsi="Sylfaen"/>
          <w:sz w:val="24"/>
          <w:szCs w:val="24"/>
        </w:rPr>
        <w:t xml:space="preserve"> ուղղված՝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համատեղ լաբորատորիաների,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 xml:space="preserve">գիտահետազոտական կենտրոնների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կայանների ստեղծմանը,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նորարարական արտադրանքի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տեխնոլոգիաների համատեղ ստեղծմանը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ներդրմանը,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ժամանակակակից տեխնոլոգիաների տեղայնացմանը,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անդամ պետությունների միջ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ժամանակակից տեխնոլոգիաների փոխանակմանը,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ճյուղի նորարարական զարգացման </w:t>
      </w:r>
      <w:r w:rsidR="00D93838">
        <w:rPr>
          <w:rFonts w:ascii="Sylfaen" w:hAnsi="Sylfaen"/>
          <w:sz w:val="24"/>
          <w:szCs w:val="24"/>
        </w:rPr>
        <w:t xml:space="preserve">եւ </w:t>
      </w:r>
      <w:r w:rsidRPr="00882276">
        <w:rPr>
          <w:rFonts w:ascii="Sylfaen" w:hAnsi="Sylfaen"/>
          <w:sz w:val="24"/>
          <w:szCs w:val="24"/>
        </w:rPr>
        <w:t>փոխադարձ շահ ներկայացնող համատեղ նախագծերի իրականացման համար պայմանների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ավորմանը,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իրականացնում են համատեղ նախագծերի իրականացման համար լավագույն գործընկերների որոնում,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անցկացնում են խորհրդատվական աշխատանքներ՝ նորարարական ոլորտում համագործակցային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>գործընկերությունների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ավորման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համատեղ նախագծեր</w:t>
      </w:r>
      <w:r w:rsidR="008228B9" w:rsidRPr="00882276">
        <w:rPr>
          <w:rFonts w:ascii="Sylfaen" w:hAnsi="Sylfaen"/>
          <w:sz w:val="24"/>
          <w:szCs w:val="24"/>
        </w:rPr>
        <w:t>ի</w:t>
      </w:r>
      <w:r w:rsidRPr="00882276">
        <w:rPr>
          <w:rFonts w:ascii="Sylfaen" w:hAnsi="Sylfaen"/>
          <w:sz w:val="24"/>
          <w:szCs w:val="24"/>
        </w:rPr>
        <w:t xml:space="preserve"> իրականացման ժամանակ,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կազմակերպում են (անհրաժեշտության դեպքում) համատեղ նախագծերի համատեղ փորձաքննության անցկացում՝ անդամ պետությունների օրենսդրությանը համապատասխան,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 անցկացնում են բյուջետային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արտաբյուջետային ֆինանսավորման աղբյուրներից միջոցների ներգրավման աշխատանքներ՝ համատեղ նախագծերի իրականացման համար,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իրականացնում են այլ աշխատանք՝ ուղղված համատեղ նախագծերի ուղեկցմանը դրանց իրագործման բոլոր փուլերում՝ «Եվրասիական տնտեսական միության մասին» 2014 թվականի մայիսի 29-ի պայմանագրին համապատասխան. 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ե)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անդամ պետությունների գիտատեխնիկական զարգացմանը խոչընդոտող արգելքների հայտնաբերման խնդիրը լուծելու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դրանց վերացման վերաբերյալ առաջարկություններ մշակելու համար՝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 xml:space="preserve">մշակում են առաջարկներ գիտատեխնիկական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նորարարական ոլորտների զարգացման վերաբերյալ, 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իրականացնում են խորհրդատվական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փորձագիտական աշխատանքներ.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զ)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անդամ պետությունների գիտատեխնիկական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նորարարական համագործակցության արդյունքների դիտանցման խնդիրը լուծելու համար՝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անցկացնում են դիտանցում նորարարական տեխնոլոգիաները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ապրանքներն անդամ պետությունների տնտեսության իրական հատվածի կազմակերպություններում ներդնելու նկատմամբ,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անցկացնում են դիտանցում անդամ պետությունների համատեղ գիտատեխնիկական գործունեության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նորարարական համագործակցության արդյունքների</w:t>
      </w:r>
      <w:r w:rsidR="008228B9" w:rsidRPr="00882276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>նկատմամբ,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հրապարակում են ակնարկներ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զեկույցներ</w:t>
      </w:r>
      <w:r w:rsidR="00580918" w:rsidRPr="00882276">
        <w:rPr>
          <w:rFonts w:ascii="Sylfaen" w:hAnsi="Sylfaen"/>
          <w:sz w:val="24"/>
          <w:szCs w:val="24"/>
        </w:rPr>
        <w:t>՝</w:t>
      </w:r>
      <w:r w:rsidRPr="00882276">
        <w:rPr>
          <w:rFonts w:ascii="Sylfaen" w:hAnsi="Sylfaen"/>
          <w:sz w:val="24"/>
          <w:szCs w:val="24"/>
        </w:rPr>
        <w:t xml:space="preserve"> գիտատեխնիկական զարգացման առաջատար ազգային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համաշխարհային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 xml:space="preserve">ձեռքբերումների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անդամ պետությունների տնտեսության իրական հատվածի նորարարական զարգացման մասին:</w:t>
      </w:r>
    </w:p>
    <w:p w:rsidR="00267481" w:rsidRDefault="00267481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IV. 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 կարգը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7.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հարթակները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ավորվում են Եվրասիական տնտեսական հանձնաժողովի (այսուհետ՝ Հանձնաժողով) որոշումների հիման վրա: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8.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հարթակի ստեղծման մասին որոշումն ընդունելիս անդամ պետության մասնակիցը (մասնակիցները) համաձայնեցվում է</w:t>
      </w:r>
      <w:r w:rsidR="00D50F5C" w:rsidRPr="00882276">
        <w:rPr>
          <w:rFonts w:ascii="Sylfaen" w:hAnsi="Sylfaen"/>
          <w:sz w:val="24"/>
          <w:szCs w:val="24"/>
        </w:rPr>
        <w:t xml:space="preserve"> (</w:t>
      </w:r>
      <w:r w:rsidR="00580918" w:rsidRPr="00882276">
        <w:rPr>
          <w:rFonts w:ascii="Sylfaen" w:hAnsi="Sylfaen"/>
          <w:sz w:val="24"/>
          <w:szCs w:val="24"/>
        </w:rPr>
        <w:t>են</w:t>
      </w:r>
      <w:r w:rsidR="00D50F5C" w:rsidRPr="00882276">
        <w:rPr>
          <w:rFonts w:ascii="Sylfaen" w:hAnsi="Sylfaen"/>
          <w:sz w:val="24"/>
          <w:szCs w:val="24"/>
        </w:rPr>
        <w:t>)</w:t>
      </w:r>
      <w:r w:rsidRPr="00882276">
        <w:rPr>
          <w:rFonts w:ascii="Sylfaen" w:hAnsi="Sylfaen"/>
          <w:sz w:val="24"/>
          <w:szCs w:val="24"/>
        </w:rPr>
        <w:t xml:space="preserve"> անդամ պետության լիազորված մարմնի կողմից: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9.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Հանձնաժողովն ընդունում է 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 մասին որոշում</w:t>
      </w:r>
      <w:r w:rsidR="00580918" w:rsidRPr="00882276">
        <w:rPr>
          <w:rFonts w:ascii="Sylfaen" w:hAnsi="Sylfaen"/>
          <w:sz w:val="24"/>
          <w:szCs w:val="24"/>
        </w:rPr>
        <w:t>՝</w:t>
      </w:r>
      <w:r w:rsidRPr="00882276">
        <w:rPr>
          <w:rFonts w:ascii="Sylfaen" w:hAnsi="Sylfaen"/>
          <w:sz w:val="24"/>
          <w:szCs w:val="24"/>
        </w:rPr>
        <w:t xml:space="preserve"> փաստաթղթերի հետ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յալ փաթեթի հիման վրա՝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ա)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մասնակիցների կողմից Հանձնաժողով ներկայացվող՝ 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 մասին դիմում.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բ)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մասնակիցների կողմից կազմված հիմնադիր փաստաթղթի նախագիծ, եթե եվրասիական տեխնոլոգիական հարթակը ստեղծվում է իրավաբանական անձի կազմավորմամբ.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գ)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մասնակիցների միջ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պայմանագրի նախագիծ, եթե եվրասիական տեխնոլոգիական հարթակը ստեղծվում է առանց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 xml:space="preserve">իրավաբանական անձի կազմավորման. 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դ)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մասնակիցների ցանկի նախագիծ.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ե)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ավորման նպատակահարմարության հիմնավորում՝ նշելով գործունեության նպատակները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խնդիրները, հիմնական ուղղությունները, դրանց համապատասխանությունը Միության արդյունաբերական համագործակցության գերակայություններին.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զ)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համատեղ նախագծերի ցանկի նախագիծ: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10.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հարթակը կարող է ստեղծվել իրավաբանական անձի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>կազմավորմամբ կամ առանց կազմավորման՝ անդամ պետությունների օրենսդրությամբ նախատեսված կարգով: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11.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Անդամ պետության լիազորված մարմինը կարող է սահմանել 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 վերաբերյալ փաստաթղթերի նախագծերի նախապատրաստման համար պատասխանատուին՝ իր պետության օրենսդրությանը համապատասխան: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12.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հարթակները, իրենց գործունեության պրոֆիլին</w:t>
      </w:r>
      <w:r w:rsidR="00371F92" w:rsidRPr="00882276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 xml:space="preserve">համապատասխան, կարող են որպես մասնակից ընդգրկել խոշոր (ճյուղային արդյունաբերական ձեռնարկություններ, պետական ընկերություններ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այլն), փոքր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միջին բիզնեսի կազմակերպություններ, գիտական կազմակերպություններ (գիտահետազոտական ինստիտուտներ, համալսարաններ </w:t>
      </w:r>
      <w:r w:rsidR="00D93838">
        <w:rPr>
          <w:rFonts w:ascii="Sylfaen" w:hAnsi="Sylfaen"/>
          <w:sz w:val="24"/>
          <w:szCs w:val="24"/>
        </w:rPr>
        <w:lastRenderedPageBreak/>
        <w:t>եւ</w:t>
      </w:r>
      <w:r w:rsidRPr="00882276">
        <w:rPr>
          <w:rFonts w:ascii="Sylfaen" w:hAnsi="Sylfaen"/>
          <w:sz w:val="24"/>
          <w:szCs w:val="24"/>
        </w:rPr>
        <w:t xml:space="preserve"> այլն), զարգացման պետական ինստիտուտներ, հասարակական (ճյուղային ասոցիացիաներ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միավորումներ)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այլ կազմակերպություններ, այդ թվում՝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>Միության անդամ չհանդիսացող պետություններից, ինչպես նա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ֆիզիկական անձանց: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13.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հարթակները միավորում են մասնակիցներ առնվազն 3 անդամ պետությունից: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14.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Եթե եվրասիական տեխնոլոգիական հարթակները ստեղծվել են իրավաբանական անձի կազմավորմամբ, ապա եվրասիական տեխնոլոգիական հարթակների մասնակիցների կողմից որոշումներն ընդունվում են՝ Եվրասիական տեխնոլոգիական հարթակների հիմնադիր փաստաթղթերին համապատասխան: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15.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Եթե եվրասիական տեխնոլոգիական հարթակները ստեղծվել են առանց իրավաբանական անձի կազմավորման, ապա եվրասիական տեխնոլոգիական հարթակների մասնակիցների կողմից որոշումներն ընդունվում են՝ դրանց միջ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պայմանագրին համապատասխան: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16.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Եթե եվրասիական տեխնոլոգիական հարթակները ստեղծվել են իրավաբանական անձի կազմավորմամբ, ապա եվրասիական տեխնոլոգիական հարթակներին մասնակիցների միացումն իրականացվում է՝ եվրասիական տեխնոլոգիական հարթակների հիմնադիր փաստաթղթերին համապատասխան:</w:t>
      </w:r>
    </w:p>
    <w:p w:rsidR="00D046F6" w:rsidRPr="00882276" w:rsidRDefault="0081569C" w:rsidP="00267481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17.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Եթե եվրասիական տեխնոլոգիական հարթակները ստեղծվել են առանց իրավաբանական անձի կազմավորման, ապա եվրասիական տեխնոլոգիական հարթակներին մասնակիցների միացումն իրականացվում է՝ դրանց մասնակիցների միջ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պայմանագրին համապատասխան:</w:t>
      </w:r>
    </w:p>
    <w:p w:rsidR="00D046F6" w:rsidRPr="00882276" w:rsidRDefault="0081569C" w:rsidP="00267481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18.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Եվրասիական տեխնոլոգիական հարթակների գործունեության կազմակերպական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տեղեկատվական ապահովումն իրականացվում է դրանց մարմինների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կառուցվածքային ստորաբաժանումների կողմից, ինչպես նա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այդ նպատակներով կարող են սահմանվել մասնակիցներ յուրաքանչյուր անդամ պետությունից՝ համապատասխան անդամ պետության լիազորված մարմնի հետ համաձայնեցմամբ: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19.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ղեկավարումն ապահովելու նպատակով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ավորվում է ղեկավար մարմին, որի մեջ մտնում են նա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բոլոր այն անդամ պետությունների ներկայացուցիչները, որոնց կազմակերպությունները եվրասիական տեխնոլոգիական հարթակների մասնակիցներ են: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20.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գործառումն ապահովելու նպատակով հարկ եղած դեպքում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ավորվում են եվրասիական տեխնոլոգիական հարթակների մարմիններ՝</w:t>
      </w:r>
    </w:p>
    <w:p w:rsidR="007A585E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փորձագիտական, համակարգման, գիտատեխնիկական խորհուրդներ, աշխատանքային խմբեր, մրցութային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այլ հանձնաժողովներ: 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 xml:space="preserve">Նշված մարմինների գործունեության հետ կապված ծախսերն իրականացվում են շահագրգիռ կազմակերպությունների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եվրասիական տեխնոլոգիական հարթակների մասնակիցների կողմից:</w:t>
      </w:r>
    </w:p>
    <w:p w:rsidR="0081569C" w:rsidRPr="00882276" w:rsidRDefault="0081569C" w:rsidP="00CE3B5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280" w:firstLine="567"/>
        <w:jc w:val="center"/>
        <w:rPr>
          <w:rFonts w:ascii="Sylfaen" w:hAnsi="Sylfaen"/>
          <w:sz w:val="24"/>
          <w:szCs w:val="24"/>
        </w:rPr>
      </w:pP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V. Եվրասիական տեխնոլոգիական հարթակների ֆինանսավորման կարգը</w:t>
      </w:r>
    </w:p>
    <w:p w:rsidR="00D046F6" w:rsidRPr="00267481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pacing w:val="-6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21.</w:t>
      </w:r>
      <w:r w:rsidR="00A64A0B">
        <w:rPr>
          <w:rFonts w:ascii="Sylfaen" w:hAnsi="Sylfaen"/>
          <w:sz w:val="24"/>
          <w:szCs w:val="24"/>
        </w:rPr>
        <w:tab/>
      </w:r>
      <w:r w:rsidRPr="00267481">
        <w:rPr>
          <w:rFonts w:ascii="Sylfaen" w:hAnsi="Sylfaen"/>
          <w:spacing w:val="-8"/>
          <w:sz w:val="24"/>
          <w:szCs w:val="24"/>
        </w:rPr>
        <w:t xml:space="preserve">Համատեղ գիտահետազոտական </w:t>
      </w:r>
      <w:r w:rsidR="00D93838" w:rsidRPr="00267481">
        <w:rPr>
          <w:rFonts w:ascii="Sylfaen" w:hAnsi="Sylfaen"/>
          <w:spacing w:val="-8"/>
          <w:sz w:val="24"/>
          <w:szCs w:val="24"/>
        </w:rPr>
        <w:t>եւ</w:t>
      </w:r>
      <w:r w:rsidRPr="00267481">
        <w:rPr>
          <w:rFonts w:ascii="Sylfaen" w:hAnsi="Sylfaen"/>
          <w:spacing w:val="-8"/>
          <w:sz w:val="24"/>
          <w:szCs w:val="24"/>
        </w:rPr>
        <w:t xml:space="preserve"> փորձարարական-կոնստրուկտորական աշխատանքների, միջոցառումների, համատեղ նախագծերի</w:t>
      </w:r>
      <w:r w:rsidR="00D93838" w:rsidRPr="00267481">
        <w:rPr>
          <w:rFonts w:ascii="Sylfaen" w:hAnsi="Sylfaen"/>
          <w:spacing w:val="-8"/>
          <w:sz w:val="24"/>
          <w:szCs w:val="24"/>
        </w:rPr>
        <w:t xml:space="preserve"> </w:t>
      </w:r>
      <w:r w:rsidRPr="00267481">
        <w:rPr>
          <w:rFonts w:ascii="Sylfaen" w:hAnsi="Sylfaen"/>
          <w:spacing w:val="-8"/>
          <w:sz w:val="24"/>
          <w:szCs w:val="24"/>
        </w:rPr>
        <w:t>իրագործման համար եվրասիական տեխնոլոգիական հարթակներն ապահովում են ֆինանսավորման ներգրավում՝</w:t>
      </w:r>
    </w:p>
    <w:p w:rsidR="00D046F6" w:rsidRPr="00882276" w:rsidRDefault="00671EF9" w:rsidP="00267481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մասնակիցների սեփական միջոցներից.</w:t>
      </w:r>
    </w:p>
    <w:p w:rsidR="00D046F6" w:rsidRPr="00882276" w:rsidRDefault="00671EF9" w:rsidP="00267481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բ)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ներդրողների, ֆոնդերի, հասարակական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այլ շահագրգիռ կազմակերպությունների միջոցներից.</w:t>
      </w:r>
    </w:p>
    <w:p w:rsidR="00D046F6" w:rsidRPr="00882276" w:rsidRDefault="00671EF9" w:rsidP="00267481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գ)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լիազորված մասնագիտացված ազգային կազմակերպությունների միջոցներից՝ համատեղ միջոցառումների, համատեղ նախագծերի ազգային մասերի լրիվ կամ մասնակի ֆինանսավորման նպատակով</w:t>
      </w:r>
      <w:r w:rsidR="00E357C6" w:rsidRPr="00882276">
        <w:rPr>
          <w:rFonts w:ascii="Sylfaen" w:hAnsi="Sylfaen"/>
          <w:sz w:val="24"/>
          <w:szCs w:val="24"/>
        </w:rPr>
        <w:t>՝</w:t>
      </w:r>
      <w:r w:rsidRPr="00882276">
        <w:rPr>
          <w:rFonts w:ascii="Sylfaen" w:hAnsi="Sylfaen"/>
          <w:sz w:val="24"/>
          <w:szCs w:val="24"/>
        </w:rPr>
        <w:t xml:space="preserve"> վերջիններիս ներքին ֆինանսական քաղաքականությանը համապատասխան.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դ)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անդամ պետությունների բյուջեներից՝ համատեղ գիտահետազոտական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փորձարարական-կոնստրուկտորական աշխատանքների, միջոցառումների, համատեղ նախագծերի ազգային մասերի լրիվ կամ մասնակի ֆինանսավորման նպատակով՝ համապատասխան պետական ծրագրերի, պետական աջակցության գործիքների շրջանակներում այդ պետությունների օրենսդրությանը համապատասխան.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ե)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միջազգային ֆինանսական կազմակերպությունների միջոցներից</w:t>
      </w:r>
      <w:r w:rsidR="007A585E" w:rsidRPr="00882276">
        <w:rPr>
          <w:rFonts w:ascii="Sylfaen" w:hAnsi="Sylfaen"/>
          <w:sz w:val="24"/>
          <w:szCs w:val="24"/>
        </w:rPr>
        <w:t>՝</w:t>
      </w:r>
      <w:r w:rsidRPr="00882276">
        <w:rPr>
          <w:rFonts w:ascii="Sylfaen" w:hAnsi="Sylfaen"/>
          <w:sz w:val="24"/>
          <w:szCs w:val="24"/>
        </w:rPr>
        <w:t xml:space="preserve"> վերջիններիս ներքին ֆինանսական քաղաքականությանը համապատասխան, համատեղ նախագծերի լրիվ կամ մասնակի ֆինանսավորման նպատակով.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զ)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Միության բյուջեի միջոցներից՝ Հանձնաժողովի կարիքների համար անցկացվող գիտահետազոտական աշխատանքների լրիվ կամ մասնակի ֆինանսավորման նպատակով, Միության շրջանակներում արդյունաբերական համագործակցության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Միության ինտեգրացված տեղեկատվական համակարգի շրջանակներում տեղեկատվական համակարգերի ստեղծմանը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տվյալների շտեմարանների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ավորմանն ուղղված միջոցառումների իրագործման նպատակներով:</w:t>
      </w:r>
      <w:r w:rsidR="00D93838">
        <w:rPr>
          <w:rFonts w:ascii="Sylfaen" w:hAnsi="Sylfaen"/>
          <w:sz w:val="24"/>
          <w:szCs w:val="24"/>
        </w:rPr>
        <w:t xml:space="preserve"> 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22.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Համատեղ նախագծերի կազմում իրագործվող միջոցառումների ցանկում կարող են ներառվել՝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Հանձնաժողովի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պետական մարմինների կողմից իրենց վրա դրված լիազորությունների շրջանակներում իրագործվող՝ զարգացմանն ուղղված ռազմավարությունների, ծրագրերի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այլ փաստաթղթերի մշակման մասով միջոցառումները.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բ)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Միության ինտեգրացված տեղեկատվական համակարգի շրջանակներում տեղեկատվական համակարգերի ստեղծման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տվյալների բազաների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ավորման մասով միջոցառումները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Հանձնաժողովի կարիքների համար անցկացվող գիտահետազոտական աշխատանքները՝ Միության շրջանակներում արդյունաբերական համագործակցության իրագործման նպատակներով: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23.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մասնակիցները պատասխանատու են իրենց պարտավորությունների կատարման համար՝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>համապատասխան անդամ պետության օրենսդրությանը համապատասխան:</w:t>
      </w:r>
    </w:p>
    <w:p w:rsidR="0081569C" w:rsidRPr="00882276" w:rsidRDefault="0081569C" w:rsidP="00CE3B5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VI. Եվրասիական տեխնոլոգիական հարթակների գործունեությունը համակարգելու կարգը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24.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ավորման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գործառման հարցերով՝ անդամ պետությունների փոխգործակցության ընդհանուր համակարգումն իրականացնում է Հանձնաժողովը: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25.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Հանձնաժողովն անդամ պետությունների լիազորված մարմինների հետ համատեղ իրականացնում է՝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եվրասիական տեխնոլոգիական հարթակների գործունեության զարգացման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առաջխաղացման նպատակներով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 xml:space="preserve">«կլոր սեղանների», խորհրդակցությունների </w:t>
      </w:r>
      <w:r w:rsidR="00D93838">
        <w:rPr>
          <w:rFonts w:ascii="Sylfaen" w:hAnsi="Sylfaen"/>
          <w:sz w:val="24"/>
          <w:szCs w:val="24"/>
        </w:rPr>
        <w:t xml:space="preserve">եւ </w:t>
      </w:r>
      <w:r w:rsidRPr="00882276">
        <w:rPr>
          <w:rFonts w:ascii="Sylfaen" w:hAnsi="Sylfaen"/>
          <w:sz w:val="24"/>
          <w:szCs w:val="24"/>
        </w:rPr>
        <w:t>տեսահամաժողովների կազմակերպում՝ անդամ պետությունների պրոֆիլային կազմակերպությունների միջավայրում.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բ)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ավորման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գործառման ապահովման լավագույն փորձի կուտակում.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գ)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սույն Հիմնադրույթով նախատեսված 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 վերաբերյալ փաստաթղթերի փաթեթների ուսումնասիրում.</w:t>
      </w:r>
    </w:p>
    <w:p w:rsidR="00D046F6" w:rsidRPr="00882276" w:rsidRDefault="00671EF9" w:rsidP="00267481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դ)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սույն Հիմնադրույթի 5-րդ կետի «է» ենթակետում նշված դիտանցման արդյունքներով</w:t>
      </w:r>
      <w:r w:rsidR="00D93838">
        <w:rPr>
          <w:rFonts w:ascii="Sylfaen" w:hAnsi="Sylfaen"/>
          <w:sz w:val="24"/>
          <w:szCs w:val="24"/>
        </w:rPr>
        <w:t xml:space="preserve"> եւ</w:t>
      </w:r>
      <w:r w:rsidRPr="00882276">
        <w:rPr>
          <w:rFonts w:ascii="Sylfaen" w:hAnsi="Sylfaen"/>
          <w:sz w:val="24"/>
          <w:szCs w:val="24"/>
        </w:rPr>
        <w:t xml:space="preserve"> կատարված աշխատանքի արդյունքների վերաբերյալ եվրասիական տեխնոլոգիական հարթակների համապատասխան փաստաթղթերի հիման վրա եվրասիական տեխնոլոգիական հարթակների գործունեության արդյունքների վերաբերյալ տարեկան զեկույցի պատրաստում՝ անդամ պետությունների կողմից</w:t>
      </w:r>
      <w:r w:rsidR="00D93838">
        <w:rPr>
          <w:rFonts w:ascii="Sylfaen" w:hAnsi="Sylfaen"/>
          <w:sz w:val="24"/>
          <w:szCs w:val="24"/>
        </w:rPr>
        <w:t xml:space="preserve"> </w:t>
      </w:r>
      <w:r w:rsidRPr="00882276">
        <w:rPr>
          <w:rFonts w:ascii="Sylfaen" w:hAnsi="Sylfaen"/>
          <w:sz w:val="24"/>
          <w:szCs w:val="24"/>
        </w:rPr>
        <w:t xml:space="preserve">եվրասիական տեխնոլոգիական հարթակների գործառման արդյունավետության բարձրացմանը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գործունեության խթանմանն ուղղված որոշումների կայացման համար.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ե)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եվրասիական տեխնոլոգիական հարթակների գործառման արդյունավետության բարձրացման վերաբերյալ առաջարկների մշակում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դրանք Եվրասիական միջկառավարական խորհրդի քննարկմանը ներկայացնելը: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26.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Անդամ պետությունների լիազորված մարմիններն իրականացնում են՝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ավորման վերաբերյալ փաստաթղթերի փաթեթների ուսումնասիրում.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բ)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եվրասիական տեխնոլոգիական հարթակներին միանալուն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դրանց մասնակցելուն ուղղված՝ անդամ պետությունների աշխատանքի համակարգում.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գ)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ստեղծման մասին որոշում կայացնելու փուլում եվրասիական տեխնոլոգիական հարթակների մասնակիցների, ինչպես նա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եվրասիական տեխնոլոգիական հարթակների կազմակերպական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տեղեկատվական գործունեությունն ապահովող՝ անդամ պետությունների մասնակիցների համաձայնեցում.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դ)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մասնակցություն եվրասիական տեխնոլոգիական հարթակների գործունեության դիտանցմանը, այդ թվում՝ համատեղ նախագծերի իրագործում.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ե)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մասնակցություն եվրասիական տեխնոլոգիական հարթակների գործառման արդյունավետությունը բարձրացնելու վերաբերյալ առաջարկների մշակմանը: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27.</w:t>
      </w:r>
      <w:r w:rsidR="00A64A0B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Սույն </w:t>
      </w:r>
      <w:r w:rsidR="00C02E7E" w:rsidRPr="00882276">
        <w:rPr>
          <w:rFonts w:ascii="Sylfaen" w:hAnsi="Sylfaen"/>
          <w:sz w:val="24"/>
          <w:szCs w:val="24"/>
        </w:rPr>
        <w:t>հ</w:t>
      </w:r>
      <w:r w:rsidRPr="00882276">
        <w:rPr>
          <w:rFonts w:ascii="Sylfaen" w:hAnsi="Sylfaen"/>
          <w:sz w:val="24"/>
          <w:szCs w:val="24"/>
        </w:rPr>
        <w:t>իմնադրույթի 5-րդ կետի «է» ենթակետով նախատեսված դիտանցում անցկացնելու նպատակներով եվրասիական տեխնոլոգիական հարթակների մարմինների կողմից յուրաքանչյուր տարի մինչ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հունիսի 1-ն իրականացվում է հետ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>յալ փաստաթղթերի պատրաստում՝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ա)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մասնակիցների ցանկ</w:t>
      </w:r>
      <w:r w:rsidR="00C02E7E" w:rsidRPr="00882276">
        <w:rPr>
          <w:rFonts w:ascii="Sylfaen" w:hAnsi="Sylfaen"/>
          <w:sz w:val="24"/>
          <w:szCs w:val="24"/>
        </w:rPr>
        <w:t>՝</w:t>
      </w:r>
      <w:r w:rsidRPr="00882276">
        <w:rPr>
          <w:rFonts w:ascii="Sylfaen" w:hAnsi="Sylfaen"/>
          <w:sz w:val="24"/>
          <w:szCs w:val="24"/>
        </w:rPr>
        <w:t xml:space="preserve"> հաշվետու տարվա ավարտի դրությամբ.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բ)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հաջորդ տարվա գործողությունների պլան.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վ)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համատեղ նախագծերի իրագործման վերաբերյալ հաշվետվություն.</w:t>
      </w:r>
    </w:p>
    <w:p w:rsidR="00D046F6" w:rsidRPr="00882276" w:rsidRDefault="00671EF9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գ)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հաջորդ տարվա համատեղ նախագծերի թարմացված ցանկ:</w:t>
      </w:r>
    </w:p>
    <w:p w:rsidR="00D046F6" w:rsidRPr="00882276" w:rsidRDefault="0081569C" w:rsidP="00257D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28.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ավորմանը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զարգացման խթանմանն ուղղված աշխատանքները համակարգելու նպատակով Հանձնաժողով</w:t>
      </w:r>
      <w:r w:rsidR="00C02E7E" w:rsidRPr="00882276">
        <w:rPr>
          <w:rFonts w:ascii="Sylfaen" w:hAnsi="Sylfaen"/>
          <w:sz w:val="24"/>
          <w:szCs w:val="24"/>
        </w:rPr>
        <w:t>ն</w:t>
      </w:r>
      <w:r w:rsidRPr="00882276">
        <w:rPr>
          <w:rFonts w:ascii="Sylfaen" w:hAnsi="Sylfaen"/>
          <w:sz w:val="24"/>
          <w:szCs w:val="24"/>
        </w:rPr>
        <w:t xml:space="preserve"> անդամ պետությունների լիազորված մարմինների հետ համատեղ կազմակերպում է մշտապես գործող հարթակ, որի շրջանակներում կազմակերպվում են եվրասիական տեխնոլոգիական հարթակների հնարավոր մասնակիցների հանդիպումներ, եվրասիական տեխնոլոգիական հարթակների մասնակիցների կողմից անցկացվում է զարգացման արդիական ուղղությունների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զարգացման խոչընդոտների վերացման խնդիրների քննարկում, մշակվում են եվրասիական տեխնոլոգիական հարթակների խթանման վերաբերյալ առաջարկներ:</w:t>
      </w:r>
    </w:p>
    <w:p w:rsidR="00257D6C" w:rsidRDefault="00257D6C" w:rsidP="00257D6C">
      <w:pPr>
        <w:tabs>
          <w:tab w:val="left" w:pos="993"/>
        </w:tabs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:rsidR="00257D6C" w:rsidRDefault="00257D6C" w:rsidP="00882276">
      <w:pPr>
        <w:spacing w:after="160" w:line="360" w:lineRule="auto"/>
        <w:rPr>
          <w:rFonts w:ascii="Sylfaen" w:eastAsia="Times New Roman" w:hAnsi="Sylfaen" w:cs="Times New Roman"/>
        </w:rPr>
        <w:sectPr w:rsidR="00257D6C" w:rsidSect="00267481">
          <w:headerReference w:type="default" r:id="rId8"/>
          <w:pgSz w:w="11909" w:h="16840" w:code="9"/>
          <w:pgMar w:top="1418" w:right="1418" w:bottom="1418" w:left="1418" w:header="568" w:footer="6" w:gutter="0"/>
          <w:pgNumType w:start="1"/>
          <w:cols w:space="720"/>
          <w:noEndnote/>
          <w:titlePg/>
          <w:docGrid w:linePitch="360"/>
        </w:sectPr>
      </w:pPr>
    </w:p>
    <w:p w:rsidR="00D046F6" w:rsidRPr="00882276" w:rsidRDefault="00671EF9" w:rsidP="00257D6C">
      <w:pPr>
        <w:pStyle w:val="Bodytext20"/>
        <w:shd w:val="clear" w:color="auto" w:fill="auto"/>
        <w:spacing w:before="0" w:after="160" w:line="360" w:lineRule="auto"/>
        <w:ind w:left="4678" w:firstLine="0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lastRenderedPageBreak/>
        <w:t>ՀԱՎԵԼՎԱԾ</w:t>
      </w:r>
    </w:p>
    <w:p w:rsidR="00D046F6" w:rsidRPr="00882276" w:rsidRDefault="00671EF9" w:rsidP="00D93838">
      <w:pPr>
        <w:pStyle w:val="Bodytext20"/>
        <w:shd w:val="clear" w:color="auto" w:fill="auto"/>
        <w:spacing w:before="0" w:after="160" w:line="360" w:lineRule="auto"/>
        <w:ind w:left="4678" w:firstLine="0"/>
        <w:jc w:val="center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Եվրասիական միջկառավարական խորհրդի 2016 թվականի ապրիլի 13-ի թիվ 2 որոշման</w:t>
      </w:r>
    </w:p>
    <w:p w:rsidR="0081569C" w:rsidRPr="00882276" w:rsidRDefault="0081569C" w:rsidP="00257D6C">
      <w:pPr>
        <w:pStyle w:val="Bodytext20"/>
        <w:shd w:val="clear" w:color="auto" w:fill="auto"/>
        <w:spacing w:before="0" w:after="160" w:line="360" w:lineRule="auto"/>
        <w:ind w:left="4678" w:firstLine="380"/>
        <w:jc w:val="center"/>
        <w:rPr>
          <w:rFonts w:ascii="Sylfaen" w:hAnsi="Sylfaen"/>
          <w:sz w:val="24"/>
          <w:szCs w:val="24"/>
        </w:rPr>
      </w:pPr>
    </w:p>
    <w:p w:rsidR="00D046F6" w:rsidRPr="00882276" w:rsidRDefault="00671EF9" w:rsidP="00257D6C">
      <w:pPr>
        <w:pStyle w:val="Bodytext30"/>
        <w:shd w:val="clear" w:color="auto" w:fill="auto"/>
        <w:spacing w:before="0" w:after="160" w:line="360" w:lineRule="auto"/>
        <w:ind w:right="1"/>
        <w:rPr>
          <w:rFonts w:ascii="Sylfaen" w:hAnsi="Sylfaen"/>
          <w:sz w:val="24"/>
          <w:szCs w:val="24"/>
        </w:rPr>
      </w:pPr>
      <w:r w:rsidRPr="00882276">
        <w:rPr>
          <w:rStyle w:val="Bodytext315pt0"/>
          <w:rFonts w:ascii="Sylfaen" w:hAnsi="Sylfaen"/>
          <w:b/>
          <w:spacing w:val="0"/>
          <w:sz w:val="24"/>
          <w:szCs w:val="24"/>
        </w:rPr>
        <w:t>ՑԱՆԿ</w:t>
      </w:r>
    </w:p>
    <w:p w:rsidR="00D046F6" w:rsidRPr="00882276" w:rsidRDefault="00671EF9" w:rsidP="00257D6C">
      <w:pPr>
        <w:pStyle w:val="Bodytext30"/>
        <w:shd w:val="clear" w:color="auto" w:fill="auto"/>
        <w:spacing w:before="0" w:after="160" w:line="360" w:lineRule="auto"/>
        <w:ind w:right="1"/>
        <w:rPr>
          <w:rStyle w:val="Bodytext315pt"/>
          <w:rFonts w:ascii="Sylfaen" w:hAnsi="Sylfaen"/>
          <w:b/>
          <w:bCs/>
          <w:sz w:val="24"/>
          <w:szCs w:val="24"/>
        </w:rPr>
      </w:pPr>
      <w:r w:rsidRPr="00882276">
        <w:rPr>
          <w:rStyle w:val="Bodytext315pt"/>
          <w:rFonts w:ascii="Sylfaen" w:hAnsi="Sylfaen"/>
          <w:b/>
          <w:sz w:val="24"/>
          <w:szCs w:val="24"/>
        </w:rPr>
        <w:t>եվրասիական տեխնոլոգիական հարթակների ձ</w:t>
      </w:r>
      <w:r w:rsidR="00D93838">
        <w:rPr>
          <w:rStyle w:val="Bodytext315pt"/>
          <w:rFonts w:ascii="Sylfaen" w:hAnsi="Sylfaen"/>
          <w:b/>
          <w:sz w:val="24"/>
          <w:szCs w:val="24"/>
        </w:rPr>
        <w:t>եւ</w:t>
      </w:r>
      <w:r w:rsidRPr="00882276">
        <w:rPr>
          <w:rStyle w:val="Bodytext315pt"/>
          <w:rFonts w:ascii="Sylfaen" w:hAnsi="Sylfaen"/>
          <w:b/>
          <w:sz w:val="24"/>
          <w:szCs w:val="24"/>
        </w:rPr>
        <w:t>ավորման ուղղությունների</w:t>
      </w:r>
    </w:p>
    <w:p w:rsidR="0081569C" w:rsidRPr="00882276" w:rsidRDefault="0081569C" w:rsidP="00882276">
      <w:pPr>
        <w:pStyle w:val="Bodytext30"/>
        <w:shd w:val="clear" w:color="auto" w:fill="auto"/>
        <w:spacing w:before="0" w:after="160" w:line="360" w:lineRule="auto"/>
        <w:ind w:left="60"/>
        <w:rPr>
          <w:rFonts w:ascii="Sylfaen" w:hAnsi="Sylfaen"/>
          <w:sz w:val="24"/>
          <w:szCs w:val="24"/>
        </w:rPr>
      </w:pPr>
    </w:p>
    <w:p w:rsidR="00D046F6" w:rsidRPr="00882276" w:rsidRDefault="0081569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1.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Բժշկական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բժշկական կենսատեխնոլոգիաներ, դեղագործություն </w:t>
      </w:r>
    </w:p>
    <w:p w:rsidR="00D046F6" w:rsidRPr="00882276" w:rsidRDefault="0081569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2.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Տեղեկատվական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հաղորդակցական տեխնոլոգիաներ</w:t>
      </w:r>
    </w:p>
    <w:p w:rsidR="00D046F6" w:rsidRPr="00882276" w:rsidRDefault="0081569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3.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>Ֆոտոնիկա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>Ավիատիեզերական տեխնոլոգիաներ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 xml:space="preserve">Միջուկային </w:t>
      </w:r>
      <w:r w:rsidR="00D93838">
        <w:rPr>
          <w:rFonts w:ascii="Sylfaen" w:hAnsi="Sylfaen"/>
          <w:sz w:val="24"/>
          <w:szCs w:val="24"/>
        </w:rPr>
        <w:t>եւ</w:t>
      </w:r>
      <w:r w:rsidR="0081569C" w:rsidRPr="00882276">
        <w:rPr>
          <w:rFonts w:ascii="Sylfaen" w:hAnsi="Sylfaen"/>
          <w:sz w:val="24"/>
          <w:szCs w:val="24"/>
        </w:rPr>
        <w:t xml:space="preserve"> ռադիացիոն տեխնոլոգիաներ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>Էներգետիկա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>Տրանսպորտի տեխնոլոգիաներ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 xml:space="preserve">Մետալուրգիայի տեխնոլոգիաներ </w:t>
      </w:r>
      <w:r w:rsidR="00D93838">
        <w:rPr>
          <w:rFonts w:ascii="Sylfaen" w:hAnsi="Sylfaen"/>
          <w:sz w:val="24"/>
          <w:szCs w:val="24"/>
        </w:rPr>
        <w:t>եւ</w:t>
      </w:r>
      <w:r w:rsidR="0081569C" w:rsidRPr="00882276">
        <w:rPr>
          <w:rFonts w:ascii="Sylfaen" w:hAnsi="Sylfaen"/>
          <w:sz w:val="24"/>
          <w:szCs w:val="24"/>
        </w:rPr>
        <w:t xml:space="preserve"> նոր նյութեր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 xml:space="preserve">Բնական ռեսուրսների արդյունահանում </w:t>
      </w:r>
      <w:r w:rsidR="00D93838">
        <w:rPr>
          <w:rFonts w:ascii="Sylfaen" w:hAnsi="Sylfaen"/>
          <w:sz w:val="24"/>
          <w:szCs w:val="24"/>
        </w:rPr>
        <w:t>եւ</w:t>
      </w:r>
      <w:r w:rsidR="0081569C" w:rsidRPr="00882276">
        <w:rPr>
          <w:rFonts w:ascii="Sylfaen" w:hAnsi="Sylfaen"/>
          <w:sz w:val="24"/>
          <w:szCs w:val="24"/>
        </w:rPr>
        <w:t xml:space="preserve"> նավթի ու գազի վերամշակում</w:t>
      </w:r>
    </w:p>
    <w:p w:rsidR="00D046F6" w:rsidRPr="00882276" w:rsidRDefault="0081569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10.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Քիմիա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նավթաքիմիա</w:t>
      </w:r>
    </w:p>
    <w:p w:rsidR="00D046F6" w:rsidRPr="00882276" w:rsidRDefault="0081569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 w:rsidRPr="00882276">
        <w:rPr>
          <w:rFonts w:ascii="Sylfaen" w:hAnsi="Sylfaen"/>
          <w:sz w:val="24"/>
          <w:szCs w:val="24"/>
        </w:rPr>
        <w:t>11.</w:t>
      </w:r>
      <w:r w:rsidR="00257D6C">
        <w:rPr>
          <w:rFonts w:ascii="Sylfaen" w:hAnsi="Sylfaen"/>
          <w:sz w:val="24"/>
          <w:szCs w:val="24"/>
        </w:rPr>
        <w:tab/>
      </w:r>
      <w:r w:rsidRPr="00882276">
        <w:rPr>
          <w:rFonts w:ascii="Sylfaen" w:hAnsi="Sylfaen"/>
          <w:sz w:val="24"/>
          <w:szCs w:val="24"/>
        </w:rPr>
        <w:t xml:space="preserve">Էլեկտրոնիկա </w:t>
      </w:r>
      <w:r w:rsidR="00D93838">
        <w:rPr>
          <w:rFonts w:ascii="Sylfaen" w:hAnsi="Sylfaen"/>
          <w:sz w:val="24"/>
          <w:szCs w:val="24"/>
        </w:rPr>
        <w:t>եւ</w:t>
      </w:r>
      <w:r w:rsidRPr="00882276">
        <w:rPr>
          <w:rFonts w:ascii="Sylfaen" w:hAnsi="Sylfaen"/>
          <w:sz w:val="24"/>
          <w:szCs w:val="24"/>
        </w:rPr>
        <w:t xml:space="preserve"> մեքենաշինական տեխնոլոգիաներ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>Էկոլոգիական զարգացում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>Արդյունաբերական տեխնոլոգիաներ</w:t>
      </w:r>
    </w:p>
    <w:p w:rsidR="00D046F6" w:rsidRPr="00882276" w:rsidRDefault="00257D6C" w:rsidP="00D9383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81569C" w:rsidRPr="00882276">
        <w:rPr>
          <w:rFonts w:ascii="Sylfaen" w:hAnsi="Sylfaen"/>
          <w:sz w:val="24"/>
          <w:szCs w:val="24"/>
        </w:rPr>
        <w:t>Գյուղատնտեսություն, սննդարդյունաբերություն, կենսատեխնոլոգիաներ</w:t>
      </w:r>
    </w:p>
    <w:sectPr w:rsidR="00D046F6" w:rsidRPr="00882276" w:rsidSect="00CE3B52">
      <w:pgSz w:w="11909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5A" w:rsidRDefault="003D625A" w:rsidP="00D046F6">
      <w:r>
        <w:separator/>
      </w:r>
    </w:p>
  </w:endnote>
  <w:endnote w:type="continuationSeparator" w:id="0">
    <w:p w:rsidR="003D625A" w:rsidRDefault="003D625A" w:rsidP="00D0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5A" w:rsidRDefault="003D625A"/>
  </w:footnote>
  <w:footnote w:type="continuationSeparator" w:id="0">
    <w:p w:rsidR="003D625A" w:rsidRDefault="003D62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474373"/>
      <w:docPartObj>
        <w:docPartGallery w:val="Page Numbers (Top of Page)"/>
        <w:docPartUnique/>
      </w:docPartObj>
    </w:sdtPr>
    <w:sdtEndPr>
      <w:rPr>
        <w:rFonts w:ascii="Sylfaen" w:hAnsi="Sylfaen"/>
      </w:rPr>
    </w:sdtEndPr>
    <w:sdtContent>
      <w:p w:rsidR="00267481" w:rsidRPr="00267481" w:rsidRDefault="001A1161">
        <w:pPr>
          <w:pStyle w:val="Header"/>
          <w:jc w:val="center"/>
          <w:rPr>
            <w:rFonts w:ascii="Sylfaen" w:hAnsi="Sylfaen"/>
          </w:rPr>
        </w:pPr>
        <w:r w:rsidRPr="00267481">
          <w:rPr>
            <w:rFonts w:ascii="Sylfaen" w:hAnsi="Sylfaen"/>
          </w:rPr>
          <w:fldChar w:fldCharType="begin"/>
        </w:r>
        <w:r w:rsidR="00267481" w:rsidRPr="00267481">
          <w:rPr>
            <w:rFonts w:ascii="Sylfaen" w:hAnsi="Sylfaen"/>
          </w:rPr>
          <w:instrText xml:space="preserve"> PAGE   \* MERGEFORMAT </w:instrText>
        </w:r>
        <w:r w:rsidRPr="00267481">
          <w:rPr>
            <w:rFonts w:ascii="Sylfaen" w:hAnsi="Sylfaen"/>
          </w:rPr>
          <w:fldChar w:fldCharType="separate"/>
        </w:r>
        <w:r w:rsidR="008336D6">
          <w:rPr>
            <w:rFonts w:ascii="Sylfaen" w:hAnsi="Sylfaen"/>
            <w:noProof/>
          </w:rPr>
          <w:t>14</w:t>
        </w:r>
        <w:r w:rsidRPr="00267481">
          <w:rPr>
            <w:rFonts w:ascii="Sylfaen" w:hAnsi="Sylfae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966"/>
    <w:multiLevelType w:val="multilevel"/>
    <w:tmpl w:val="5908F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32F8D"/>
    <w:multiLevelType w:val="multilevel"/>
    <w:tmpl w:val="0D8E6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F223C3"/>
    <w:multiLevelType w:val="multilevel"/>
    <w:tmpl w:val="58620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5E2621"/>
    <w:multiLevelType w:val="multilevel"/>
    <w:tmpl w:val="E47268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F6"/>
    <w:rsid w:val="00066C4A"/>
    <w:rsid w:val="00095562"/>
    <w:rsid w:val="000B59BD"/>
    <w:rsid w:val="0012338A"/>
    <w:rsid w:val="00165882"/>
    <w:rsid w:val="001A1161"/>
    <w:rsid w:val="00211D3A"/>
    <w:rsid w:val="00214474"/>
    <w:rsid w:val="00257D6C"/>
    <w:rsid w:val="00267481"/>
    <w:rsid w:val="002C2D44"/>
    <w:rsid w:val="00302FCA"/>
    <w:rsid w:val="00336BE6"/>
    <w:rsid w:val="00356B0D"/>
    <w:rsid w:val="00371F92"/>
    <w:rsid w:val="0039361A"/>
    <w:rsid w:val="003D625A"/>
    <w:rsid w:val="003E3D0A"/>
    <w:rsid w:val="0041417C"/>
    <w:rsid w:val="004A22D8"/>
    <w:rsid w:val="00580918"/>
    <w:rsid w:val="005B1D57"/>
    <w:rsid w:val="00605AFD"/>
    <w:rsid w:val="00626265"/>
    <w:rsid w:val="00671EF9"/>
    <w:rsid w:val="006A2D6F"/>
    <w:rsid w:val="00732F95"/>
    <w:rsid w:val="007A585E"/>
    <w:rsid w:val="0081569C"/>
    <w:rsid w:val="008228B9"/>
    <w:rsid w:val="0083369D"/>
    <w:rsid w:val="008336D6"/>
    <w:rsid w:val="00882276"/>
    <w:rsid w:val="00884BA4"/>
    <w:rsid w:val="008C54A6"/>
    <w:rsid w:val="009E32EB"/>
    <w:rsid w:val="009F4771"/>
    <w:rsid w:val="00A64A0B"/>
    <w:rsid w:val="00B17243"/>
    <w:rsid w:val="00B35C94"/>
    <w:rsid w:val="00B40806"/>
    <w:rsid w:val="00C02E7E"/>
    <w:rsid w:val="00C60CDD"/>
    <w:rsid w:val="00CE30D1"/>
    <w:rsid w:val="00CE3B52"/>
    <w:rsid w:val="00D046F6"/>
    <w:rsid w:val="00D11B79"/>
    <w:rsid w:val="00D3303F"/>
    <w:rsid w:val="00D50F5C"/>
    <w:rsid w:val="00D93838"/>
    <w:rsid w:val="00E357C6"/>
    <w:rsid w:val="00EA147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46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46F6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5pt">
    <w:name w:val="Heading #1 + 15 pt"/>
    <w:basedOn w:val="Heading1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0">
    <w:name w:val="Body text (3) + 15 pt"/>
    <w:aliases w:val="Spacing 2 pt"/>
    <w:basedOn w:val="Bodytext3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D046F6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D046F6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046F6"/>
    <w:pPr>
      <w:shd w:val="clear" w:color="auto" w:fill="FFFFFF"/>
      <w:spacing w:before="420" w:after="600" w:line="0" w:lineRule="atLeast"/>
      <w:ind w:hanging="10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046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336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7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48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48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6748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48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46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46F6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5pt">
    <w:name w:val="Heading #1 + 15 pt"/>
    <w:basedOn w:val="Heading1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0">
    <w:name w:val="Body text (3) + 15 pt"/>
    <w:aliases w:val="Spacing 2 pt"/>
    <w:basedOn w:val="Bodytext3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D046F6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D046F6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046F6"/>
    <w:pPr>
      <w:shd w:val="clear" w:color="auto" w:fill="FFFFFF"/>
      <w:spacing w:before="420" w:after="600" w:line="0" w:lineRule="atLeast"/>
      <w:ind w:hanging="10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046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336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7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48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48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6748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48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2908</Words>
  <Characters>16579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Vahagn Karamyan</cp:lastModifiedBy>
  <cp:revision>2</cp:revision>
  <dcterms:created xsi:type="dcterms:W3CDTF">2017-05-25T07:59:00Z</dcterms:created>
  <dcterms:modified xsi:type="dcterms:W3CDTF">2017-05-25T07:59:00Z</dcterms:modified>
</cp:coreProperties>
</file>