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3969" w:firstLine="0"/>
        <w:jc w:val="center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ՀԱՍՏԱՏՎԱԾ ԵՆ</w:t>
      </w:r>
    </w:p>
    <w:p w:rsidR="009369B9" w:rsidRPr="00F373C1" w:rsidRDefault="00EA7BBD" w:rsidP="009369B9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Եվրասիական տնտեսական հանձնաժողովի խորհրդի </w:t>
      </w:r>
      <w:r w:rsidR="009369B9">
        <w:rPr>
          <w:rFonts w:ascii="Sylfaen" w:hAnsi="Sylfaen"/>
          <w:sz w:val="24"/>
          <w:szCs w:val="24"/>
        </w:rPr>
        <w:t xml:space="preserve">22 </w:t>
      </w:r>
      <w:proofErr w:type="spellStart"/>
      <w:r w:rsidR="009369B9">
        <w:rPr>
          <w:rFonts w:ascii="Sylfaen" w:hAnsi="Sylfaen"/>
          <w:sz w:val="24"/>
          <w:szCs w:val="24"/>
        </w:rPr>
        <w:t>դեկտեմբերի</w:t>
      </w:r>
      <w:proofErr w:type="spellEnd"/>
      <w:r w:rsidR="009369B9">
        <w:rPr>
          <w:rFonts w:ascii="Sylfaen" w:hAnsi="Sylfaen"/>
          <w:sz w:val="24"/>
          <w:szCs w:val="24"/>
        </w:rPr>
        <w:t xml:space="preserve"> </w:t>
      </w:r>
      <w:r w:rsidR="009369B9" w:rsidRPr="00F373C1">
        <w:rPr>
          <w:rFonts w:ascii="Sylfaen" w:hAnsi="Sylfaen"/>
          <w:sz w:val="24"/>
          <w:szCs w:val="24"/>
        </w:rPr>
        <w:t>20</w:t>
      </w:r>
      <w:r w:rsidR="009369B9">
        <w:rPr>
          <w:rFonts w:ascii="Sylfaen" w:hAnsi="Sylfaen"/>
          <w:sz w:val="24"/>
          <w:szCs w:val="24"/>
        </w:rPr>
        <w:t xml:space="preserve">15 </w:t>
      </w:r>
      <w:proofErr w:type="spellStart"/>
      <w:r w:rsidR="009369B9" w:rsidRPr="00F373C1">
        <w:rPr>
          <w:rFonts w:ascii="Sylfaen" w:hAnsi="Sylfaen"/>
          <w:sz w:val="24"/>
          <w:szCs w:val="24"/>
        </w:rPr>
        <w:t>թվականի</w:t>
      </w:r>
      <w:proofErr w:type="spellEnd"/>
      <w:r w:rsidR="009369B9" w:rsidRPr="00F373C1">
        <w:rPr>
          <w:rFonts w:ascii="Sylfaen" w:hAnsi="Sylfaen"/>
          <w:sz w:val="24"/>
          <w:szCs w:val="24"/>
        </w:rPr>
        <w:t xml:space="preserve"> </w:t>
      </w:r>
      <w:r w:rsidR="009369B9" w:rsidRPr="00F373C1">
        <w:rPr>
          <w:rFonts w:ascii="Sylfaen" w:hAnsi="Sylfaen"/>
          <w:sz w:val="24"/>
          <w:szCs w:val="24"/>
        </w:rPr>
        <w:br/>
      </w:r>
      <w:proofErr w:type="spellStart"/>
      <w:r w:rsidR="009369B9" w:rsidRPr="00F373C1">
        <w:rPr>
          <w:rFonts w:ascii="Sylfaen" w:hAnsi="Sylfaen"/>
          <w:sz w:val="24"/>
          <w:szCs w:val="24"/>
        </w:rPr>
        <w:t>թիվ</w:t>
      </w:r>
      <w:proofErr w:type="spellEnd"/>
      <w:r w:rsidR="009369B9" w:rsidRPr="00F373C1">
        <w:rPr>
          <w:rFonts w:ascii="Sylfaen" w:hAnsi="Sylfaen"/>
          <w:sz w:val="24"/>
          <w:szCs w:val="24"/>
        </w:rPr>
        <w:t xml:space="preserve"> </w:t>
      </w:r>
      <w:r w:rsidR="009369B9">
        <w:rPr>
          <w:rFonts w:ascii="Sylfaen" w:hAnsi="Sylfaen"/>
          <w:sz w:val="24"/>
          <w:szCs w:val="24"/>
        </w:rPr>
        <w:t>168</w:t>
      </w:r>
      <w:r w:rsidR="009369B9">
        <w:rPr>
          <w:rFonts w:ascii="Sylfaen" w:hAnsi="Sylfaen"/>
          <w:sz w:val="24"/>
          <w:szCs w:val="24"/>
        </w:rPr>
        <w:t xml:space="preserve"> </w:t>
      </w:r>
      <w:proofErr w:type="spellStart"/>
      <w:r w:rsidR="009369B9" w:rsidRPr="00F373C1">
        <w:rPr>
          <w:rFonts w:ascii="Sylfaen" w:hAnsi="Sylfaen"/>
          <w:sz w:val="24"/>
          <w:szCs w:val="24"/>
        </w:rPr>
        <w:t>որոշմամբ</w:t>
      </w:r>
      <w:proofErr w:type="spellEnd"/>
    </w:p>
    <w:p w:rsidR="00EA7BBD" w:rsidRPr="00EB1A06" w:rsidRDefault="00EA7BBD" w:rsidP="009369B9">
      <w:pPr>
        <w:pStyle w:val="Bodytext20"/>
        <w:shd w:val="clear" w:color="auto" w:fill="auto"/>
        <w:spacing w:after="160" w:line="360" w:lineRule="auto"/>
        <w:ind w:left="3969" w:firstLine="0"/>
        <w:jc w:val="center"/>
        <w:rPr>
          <w:rFonts w:ascii="Sylfaen" w:hAnsi="Sylfaen"/>
          <w:sz w:val="24"/>
          <w:szCs w:val="24"/>
          <w:lang w:val="hy-AM"/>
        </w:rPr>
      </w:pPr>
    </w:p>
    <w:p w:rsidR="00EA7BBD" w:rsidRPr="00EB1A06" w:rsidRDefault="00EA7BBD" w:rsidP="00EA7BBD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  <w:lang w:val="hy-AM"/>
        </w:rPr>
      </w:pPr>
      <w:r w:rsidRPr="00EB1A06">
        <w:rPr>
          <w:rStyle w:val="Bodytext3Spacing2pt"/>
          <w:rFonts w:ascii="Sylfaen" w:hAnsi="Sylfaen"/>
          <w:spacing w:val="0"/>
        </w:rPr>
        <w:t>ՊԱՀԱՆՋՆԵՐ</w:t>
      </w:r>
    </w:p>
    <w:p w:rsidR="00EA7BBD" w:rsidRPr="00EB1A06" w:rsidRDefault="00EA7BBD" w:rsidP="00EA7BBD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բժշկական կիրառման դեղամիջոցների </w:t>
      </w:r>
      <w:bookmarkStart w:id="0" w:name="_GoBack"/>
      <w:r w:rsidR="009369B9">
        <w:rPr>
          <w:rFonts w:ascii="Sylfaen" w:hAnsi="Sylfaen"/>
          <w:sz w:val="24"/>
          <w:szCs w:val="24"/>
          <w:lang w:val="hy-AM"/>
        </w:rPr>
        <w:t>և</w:t>
      </w:r>
      <w:bookmarkEnd w:id="0"/>
      <w:r w:rsidRPr="00EB1A06">
        <w:rPr>
          <w:rFonts w:ascii="Sylfaen" w:hAnsi="Sylfaen"/>
          <w:sz w:val="24"/>
          <w:szCs w:val="24"/>
          <w:lang w:val="hy-AM"/>
        </w:rPr>
        <w:t xml:space="preserve"> անասնաբուժական դեղամիջոցների մակնշմանը ներկայացվող</w:t>
      </w:r>
    </w:p>
    <w:p w:rsidR="00EA7BBD" w:rsidRPr="00EB1A06" w:rsidRDefault="00EA7BBD" w:rsidP="00EA7BBD">
      <w:pPr>
        <w:pStyle w:val="Bodytext30"/>
        <w:shd w:val="clear" w:color="auto" w:fill="auto"/>
        <w:spacing w:after="160" w:line="360" w:lineRule="auto"/>
        <w:ind w:left="20"/>
        <w:rPr>
          <w:rFonts w:ascii="Sylfaen" w:hAnsi="Sylfaen"/>
          <w:sz w:val="24"/>
          <w:szCs w:val="24"/>
          <w:lang w:val="hy-AM"/>
        </w:rPr>
      </w:pP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0"/>
        <w:jc w:val="center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I. Ընդհանուր դրույթներ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54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1.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Սույն պահանջներով սահմանվում են Եվրասիական տնտեսական միության (այսուհետ՝ Միություն) շրջանակներում դեղամիջոցների ընդհանուր շուկայում շրջանառության մեջ բաց թողնվող բժշկական կիրառման դեղամիջոցների (այսուհետ՝ դեղամիջոցներ)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անասնաբուժական դեղամիջոցների (այսուհետ՝ անասնաբուժական միջոցներ) փաթեթվածքների վրա զետեղված մականշվածքի կանոնները։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54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2.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Դեղամիջոցների (անասնաբուժական միջոցների) մականշվածքը փաթեթվածքի վրա զետեղվում է ռուսերենով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Միության անդամ պետությունների (այսուհետ՝ անդամ պետություններ) օրենսդրության մեջ համապատասխան պահանջների առկայության դեպքում այն անդամ պետության պետական լեզվով (պետական լեզուներով), որի տար</w:t>
      </w:r>
      <w:r w:rsidR="004A145C" w:rsidRPr="00EB1A06">
        <w:rPr>
          <w:rFonts w:ascii="Sylfaen" w:hAnsi="Sylfaen"/>
          <w:sz w:val="24"/>
          <w:szCs w:val="24"/>
          <w:lang w:val="hy-AM"/>
        </w:rPr>
        <w:t>ա</w:t>
      </w:r>
      <w:r w:rsidRPr="00EB1A06">
        <w:rPr>
          <w:rFonts w:ascii="Sylfaen" w:hAnsi="Sylfaen"/>
          <w:sz w:val="24"/>
          <w:szCs w:val="24"/>
          <w:lang w:val="hy-AM"/>
        </w:rPr>
        <w:t>ծքում իրացվում են դեղամիջոցները (անասնաբուժական միջոցները)։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554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Այլ լեզուների լրացուցիչ գործածումը թույլատրվում է տեղեկատվության լրիվ նույնականության պայմանով։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554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Դեղամիջոցների (անասնաբուժական միջոցների) մականշվածքը չպետք է հակասի գրանցման դոսյեի փաստաթղթերում պարունակվող տեղեկություններին </w:t>
      </w:r>
      <w:r w:rsidRPr="00EB1A06">
        <w:rPr>
          <w:rFonts w:ascii="Sylfaen" w:hAnsi="Sylfaen"/>
          <w:sz w:val="24"/>
          <w:szCs w:val="24"/>
          <w:lang w:val="hy-AM"/>
        </w:rPr>
        <w:lastRenderedPageBreak/>
        <w:t xml:space="preserve">կամ խեղաթյուրի դրանք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չպետք է կրի գովազդային բնույթ։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54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3.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Դեղամիջոցների (անասնաբուժական միջոցների) մականշվածքը պետք է լինի դյուրընթեռնելի, ընթերցելու համար հարմար, հասկանալի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հավաստի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մոլորության մեջ չգցի դեղապատրաստուկի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անասնաբուժական դեղապատրաստուկի (այսուհետ՝ անասնաբուժական պատրաստուկ) սպառողներին (ձեռք բերողներին)։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54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4.</w:t>
      </w:r>
      <w:r w:rsidRPr="00EB1A06">
        <w:rPr>
          <w:rFonts w:ascii="Sylfaen" w:hAnsi="Sylfaen"/>
          <w:sz w:val="24"/>
          <w:szCs w:val="24"/>
          <w:lang w:val="hy-AM"/>
        </w:rPr>
        <w:tab/>
        <w:t>Սույն պահանջների նպատակներով գործածվում են հետ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յալ իմաստն արտահայտող հասկացությունները.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554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b/>
          <w:sz w:val="24"/>
          <w:szCs w:val="24"/>
          <w:lang w:val="hy-AM"/>
        </w:rPr>
        <w:t>երկրորդային (սպառողական) փաթեթվածք</w:t>
      </w:r>
      <w:r w:rsidRPr="00EB1A06">
        <w:rPr>
          <w:rFonts w:ascii="Sylfaen" w:hAnsi="Sylfaen"/>
          <w:sz w:val="24"/>
          <w:szCs w:val="24"/>
          <w:lang w:val="hy-AM"/>
        </w:rPr>
        <w:t>՝ փաթեթվածք, որի մեջ տեղավորվում է առաջնային կամ միջանկյալ փաթեթվածքում գտնվող դեղապատրաստուկը (անասնաբուժական պատրաստուկը)՝ սպառողին իրացվելու համար.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554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b/>
          <w:sz w:val="24"/>
          <w:szCs w:val="24"/>
          <w:lang w:val="hy-AM"/>
        </w:rPr>
        <w:t>մականշվածք</w:t>
      </w:r>
      <w:r w:rsidRPr="00EB1A06">
        <w:rPr>
          <w:rFonts w:ascii="Sylfaen" w:hAnsi="Sylfaen"/>
          <w:sz w:val="24"/>
          <w:szCs w:val="24"/>
          <w:lang w:val="hy-AM"/>
        </w:rPr>
        <w:t>՝ տեղեկատվություն, որը զետեղված է դեղամիջոցի (անասնաբուժական միջոցի) փաթեթվածքի վրա.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554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b/>
          <w:sz w:val="24"/>
          <w:szCs w:val="24"/>
          <w:lang w:val="hy-AM"/>
        </w:rPr>
        <w:t>առաջնային (ներքին) փաթեթվածք</w:t>
      </w:r>
      <w:r w:rsidRPr="00EB1A06">
        <w:rPr>
          <w:rFonts w:ascii="Sylfaen" w:hAnsi="Sylfaen"/>
          <w:sz w:val="24"/>
          <w:szCs w:val="24"/>
          <w:lang w:val="hy-AM"/>
        </w:rPr>
        <w:t>՝ փաթեթվածք, որն անմիջապես շփվում է դեղամիջոցի (անասնաբուժական միջոցի) հետ.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554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b/>
          <w:sz w:val="24"/>
          <w:szCs w:val="24"/>
          <w:lang w:val="hy-AM"/>
        </w:rPr>
        <w:t>միջանկյալ փաթեթվածք</w:t>
      </w:r>
      <w:r w:rsidRPr="00EB1A06">
        <w:rPr>
          <w:rFonts w:ascii="Sylfaen" w:hAnsi="Sylfaen"/>
          <w:sz w:val="24"/>
          <w:szCs w:val="24"/>
          <w:lang w:val="hy-AM"/>
        </w:rPr>
        <w:t>՝ փաթեթվածք, որի մեջ կարող է տեղավորվել առաջնային փաթեթվածքը՝ դեղապատրաստուկի (անասնաբուժական պատրաստուկի) լրացուցիչ պաշտպանության նպատակով կամ ելնելով դեղապատրաստուկի (անասնաբուժական պատրաստուկի) կիրառման առանձնահատկություններից.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554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b/>
          <w:sz w:val="24"/>
          <w:szCs w:val="24"/>
          <w:lang w:val="hy-AM"/>
        </w:rPr>
        <w:t>փաթեթվածք</w:t>
      </w:r>
      <w:r w:rsidRPr="00EB1A06">
        <w:rPr>
          <w:rFonts w:ascii="Sylfaen" w:hAnsi="Sylfaen"/>
          <w:sz w:val="24"/>
          <w:szCs w:val="24"/>
          <w:lang w:val="hy-AM"/>
        </w:rPr>
        <w:t xml:space="preserve">՝ նյութ կամ սարքվածք, որը երաշխավորում է դեղամիջոցի (անասնաբուժական միջոցի) որակի պահպանումը՝ պիտանիության (պահպանման) սահմանված ժամկետի ընթացքում, ապահովում է դեղամիջոցի (անասնաբուժական միջոցի) պաշտպանությունը վնասվելուց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կորուստներից, ինչպես նա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պաշտպանում է շրջակա միջավայրն աղտոտումներից.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554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b/>
          <w:sz w:val="24"/>
          <w:szCs w:val="24"/>
          <w:lang w:val="hy-AM"/>
        </w:rPr>
        <w:t>բջջային եզրագծային փաթեթվածք (բլիստեր)՝</w:t>
      </w:r>
      <w:r w:rsidRPr="00EB1A06">
        <w:rPr>
          <w:rFonts w:ascii="Sylfaen" w:hAnsi="Sylfaen"/>
          <w:sz w:val="24"/>
          <w:szCs w:val="24"/>
          <w:lang w:val="hy-AM"/>
        </w:rPr>
        <w:t xml:space="preserve"> ճկուն փաթեթվածք, որտեղ </w:t>
      </w:r>
      <w:r w:rsidRPr="00EB1A06">
        <w:rPr>
          <w:rFonts w:ascii="Sylfaen" w:hAnsi="Sylfaen"/>
          <w:sz w:val="24"/>
          <w:szCs w:val="24"/>
          <w:lang w:val="hy-AM"/>
        </w:rPr>
        <w:lastRenderedPageBreak/>
        <w:t>դեղամիջոցը (անասնաբուժական միջոցը) գտնվում է կաղապարված բջիջներում, որոնցից դեղամիջոցը (անասնաբուժական միջոցը) դուրս է բերվում դուրսհրման եղանակով։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554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Մյուս հասկացությունները գործածվում են Միության իրավունքի մաս կազմող միջազգային պայմանագրերով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ակտերով սահմանված իմաստներով։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554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Փաթեթվածքների նմուշներին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մանրակերտներին ներկայացվող պահանջները սահմանված են բժշկական կիրառման դեղամիջոցների գրանցման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փորձաքննության կանոններով, որոնք հաստատվում են Եվրասիական տնտեսական հանձնաժողովի (այսուհետ՝ Հանձնաժողով) կողմից։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0"/>
        <w:jc w:val="both"/>
        <w:rPr>
          <w:rFonts w:ascii="Sylfaen" w:hAnsi="Sylfaen"/>
          <w:sz w:val="24"/>
          <w:szCs w:val="24"/>
          <w:lang w:val="hy-AM"/>
        </w:rPr>
      </w:pP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0"/>
        <w:jc w:val="center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II. Մակնշմանը ներկայացվող ընդհանուր պահանջները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5.</w:t>
      </w:r>
      <w:r w:rsidRPr="00EB1A06">
        <w:rPr>
          <w:rFonts w:ascii="Sylfaen" w:hAnsi="Sylfaen"/>
          <w:sz w:val="24"/>
          <w:szCs w:val="24"/>
          <w:lang w:val="hy-AM"/>
        </w:rPr>
        <w:tab/>
        <w:t>Դեղապատրաստուկի (անասնաբուժական պատրաստուկի) առաջնային (ներքին) փաթեթվածքի (այսուհետ՝ առաջնային փաթեթվածք) վրա (բացառությամբ այն դեղապատրաստուկի (անասնաբուժական պատրաստուկի), որն իրենից ներկայացնում է կշռածրարված դեղաբուսական հումք), նշվում են հետ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յալ տեղեկությունները՝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ա)</w:t>
      </w:r>
      <w:r w:rsidRPr="00EB1A06">
        <w:rPr>
          <w:rFonts w:ascii="Sylfaen" w:hAnsi="Sylfaen"/>
          <w:sz w:val="24"/>
          <w:szCs w:val="24"/>
          <w:lang w:val="hy-AM"/>
        </w:rPr>
        <w:tab/>
        <w:t>դեղապատրաստուկի (անասնաբուժական պատրաստուկի) առ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տրային անվանումը.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բ)</w:t>
      </w:r>
      <w:r w:rsidRPr="00EB1A06">
        <w:rPr>
          <w:rFonts w:ascii="Sylfaen" w:hAnsi="Sylfaen"/>
          <w:sz w:val="24"/>
          <w:szCs w:val="24"/>
          <w:lang w:val="hy-AM"/>
        </w:rPr>
        <w:tab/>
        <w:t>միջազգային չպատենտավորված անվանումը (այսուհետ՝ ՄՉԱ) (առկայության դեպքում) կամ համընդհանուր (խմբի) անվանումը.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գ)</w:t>
      </w:r>
      <w:r w:rsidRPr="00EB1A06">
        <w:rPr>
          <w:rFonts w:ascii="Sylfaen" w:hAnsi="Sylfaen"/>
          <w:sz w:val="24"/>
          <w:szCs w:val="24"/>
          <w:lang w:val="hy-AM"/>
        </w:rPr>
        <w:tab/>
        <w:t>դեղաձ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ը.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դ)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ակտիվ դեղագործական բաղադրամասի (ակտիվ դեղագործական բաղադրամասերի) դեղաչափը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(կամ) ակտիվությունը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(կամ) կոնցենտրացիան (եթե կիրառելի է).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ե)</w:t>
      </w:r>
      <w:r w:rsidRPr="00EB1A06">
        <w:rPr>
          <w:rFonts w:ascii="Sylfaen" w:hAnsi="Sylfaen"/>
          <w:sz w:val="24"/>
          <w:szCs w:val="24"/>
          <w:lang w:val="hy-AM"/>
        </w:rPr>
        <w:tab/>
        <w:t>դեղապատրաստուկի (անասնաբուժական պատրաստուկի) քանակը փաթեթվածքում.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lastRenderedPageBreak/>
        <w:t>զ)</w:t>
      </w:r>
      <w:r w:rsidRPr="00EB1A06">
        <w:rPr>
          <w:rFonts w:ascii="Sylfaen" w:hAnsi="Sylfaen"/>
          <w:sz w:val="24"/>
          <w:szCs w:val="24"/>
          <w:lang w:val="hy-AM"/>
        </w:rPr>
        <w:tab/>
        <w:t>ներմուծման ուղին.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է)</w:t>
      </w:r>
      <w:r w:rsidRPr="00EB1A06">
        <w:rPr>
          <w:rFonts w:ascii="Sylfaen" w:hAnsi="Sylfaen"/>
          <w:sz w:val="24"/>
          <w:szCs w:val="24"/>
          <w:lang w:val="hy-AM"/>
        </w:rPr>
        <w:tab/>
        <w:t>դեղապատրաստուկի գրանցման հավաստագրի իրավատիրոջ կամ արտադրողի (անհրաժեշտության դեպքում) անվանումը կամ տարբերանշանը (անասնաբուժական պատրաստուկի գրանցման հավաստագրի իրավատիրոջ անվանումը կամ տարբերանշանը).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ը)</w:t>
      </w:r>
      <w:r w:rsidRPr="00EB1A06">
        <w:rPr>
          <w:rFonts w:ascii="Sylfaen" w:hAnsi="Sylfaen"/>
          <w:sz w:val="24"/>
          <w:szCs w:val="24"/>
          <w:lang w:val="hy-AM"/>
        </w:rPr>
        <w:tab/>
        <w:t>սերիայի համարը.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թ)</w:t>
      </w:r>
      <w:r w:rsidRPr="00EB1A06">
        <w:rPr>
          <w:rFonts w:ascii="Sylfaen" w:hAnsi="Sylfaen"/>
          <w:sz w:val="24"/>
          <w:szCs w:val="24"/>
          <w:lang w:val="hy-AM"/>
        </w:rPr>
        <w:tab/>
        <w:t>պիտանիության ժամկետը լրանալու ամսաթիվը («պիտանի է մինչ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...»)։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6.</w:t>
      </w:r>
      <w:r w:rsidRPr="00EB1A06">
        <w:rPr>
          <w:rFonts w:ascii="Sylfaen" w:hAnsi="Sylfaen"/>
          <w:sz w:val="24"/>
          <w:szCs w:val="24"/>
          <w:lang w:val="hy-AM"/>
        </w:rPr>
        <w:tab/>
        <w:t>Բջջային եզրագծային փաթեթվածքի (բլիստերի) (այսուհետ՝ բջջային փաթեթվածք) տեսք ունեցող առաջնային փաթեթվածքի վրա, որը տեղավորում են երկրորդային (սպառողական) փաթեթվածքի մեջ (այսուհետ՝ երկրորդային փաթեթվածք), թույլատրվում է չնշել սույն պահանջների 5</w:t>
      </w:r>
      <w:r w:rsidR="00320080" w:rsidRPr="00EB1A06">
        <w:rPr>
          <w:rFonts w:ascii="Sylfaen" w:hAnsi="Sylfaen"/>
          <w:sz w:val="24"/>
          <w:szCs w:val="24"/>
          <w:lang w:val="hy-AM"/>
        </w:rPr>
        <w:t>-</w:t>
      </w:r>
      <w:r w:rsidRPr="00EB1A06">
        <w:rPr>
          <w:rFonts w:ascii="Sylfaen" w:hAnsi="Sylfaen"/>
          <w:sz w:val="24"/>
          <w:szCs w:val="24"/>
          <w:lang w:val="hy-AM"/>
        </w:rPr>
        <w:t xml:space="preserve">րդ կետի «գ», «ե»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«զ» ենթակետերով նախատեսված տեղեկությունները։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7.</w:t>
      </w:r>
      <w:r w:rsidRPr="00EB1A06">
        <w:rPr>
          <w:rFonts w:ascii="Sylfaen" w:hAnsi="Sylfaen"/>
          <w:sz w:val="24"/>
          <w:szCs w:val="24"/>
          <w:lang w:val="hy-AM"/>
        </w:rPr>
        <w:tab/>
        <w:t>Ոչ մեծ չափերի առաջնային փաթեթվածքի վրա (տեքստային դաշտի ընդհանուր մակերեսը՝ 10 սմ</w:t>
      </w:r>
      <w:r w:rsidRPr="00EB1A06">
        <w:rPr>
          <w:rFonts w:ascii="Sylfaen" w:hAnsi="Sylfaen"/>
          <w:sz w:val="24"/>
          <w:szCs w:val="24"/>
          <w:vertAlign w:val="superscript"/>
          <w:lang w:val="hy-AM"/>
        </w:rPr>
        <w:t>2</w:t>
      </w:r>
      <w:r w:rsidR="00320080" w:rsidRPr="00EB1A06">
        <w:rPr>
          <w:rFonts w:ascii="Sylfaen" w:hAnsi="Sylfaen"/>
          <w:sz w:val="24"/>
          <w:szCs w:val="24"/>
          <w:lang w:val="hy-AM"/>
        </w:rPr>
        <w:t>-</w:t>
      </w:r>
      <w:r w:rsidRPr="00EB1A06">
        <w:rPr>
          <w:rFonts w:ascii="Sylfaen" w:hAnsi="Sylfaen"/>
          <w:sz w:val="24"/>
          <w:szCs w:val="24"/>
          <w:lang w:val="hy-AM"/>
        </w:rPr>
        <w:t>ից ոչ ավելի), որի վրա հնարավոր չէ տեղավորել անհրաժեշտ ամբողջ տեղեկատվությունը, թույլատրվում է չնշել սույն պահանջների 5</w:t>
      </w:r>
      <w:r w:rsidR="00320080" w:rsidRPr="00EB1A06">
        <w:rPr>
          <w:rFonts w:ascii="Sylfaen" w:hAnsi="Sylfaen"/>
          <w:sz w:val="24"/>
          <w:szCs w:val="24"/>
          <w:lang w:val="hy-AM"/>
        </w:rPr>
        <w:t>-</w:t>
      </w:r>
      <w:r w:rsidRPr="00EB1A06">
        <w:rPr>
          <w:rFonts w:ascii="Sylfaen" w:hAnsi="Sylfaen"/>
          <w:sz w:val="24"/>
          <w:szCs w:val="24"/>
          <w:lang w:val="hy-AM"/>
        </w:rPr>
        <w:t xml:space="preserve">րդ կետի «ե», «զ»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«է» ենթակետերով նախատեսված տեղեկատությունները։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8.</w:t>
      </w:r>
      <w:r w:rsidRPr="00EB1A06">
        <w:rPr>
          <w:rFonts w:ascii="Sylfaen" w:hAnsi="Sylfaen"/>
          <w:sz w:val="24"/>
          <w:szCs w:val="24"/>
          <w:lang w:val="hy-AM"/>
        </w:rPr>
        <w:tab/>
        <w:t>Դեղապատրաստուկի (անասնաբուժական պատրաստուկի) երկրորդային փաթեթվածքի, իսկ դրա բացակայության դեպքում՝ առաջնային փաթեթվածքի վրա նշվում է հետ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յալ տեղեկատվությունը՝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ա)</w:t>
      </w:r>
      <w:r w:rsidRPr="00EB1A06">
        <w:rPr>
          <w:rFonts w:ascii="Sylfaen" w:hAnsi="Sylfaen"/>
          <w:sz w:val="24"/>
          <w:szCs w:val="24"/>
          <w:lang w:val="hy-AM"/>
        </w:rPr>
        <w:tab/>
        <w:t>դեղապատրաստուկի (անասնաբուժական պատրաստուկի) առ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տրային անվանումը.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բ)</w:t>
      </w:r>
      <w:r w:rsidRPr="00EB1A06">
        <w:rPr>
          <w:rFonts w:ascii="Sylfaen" w:hAnsi="Sylfaen"/>
          <w:sz w:val="24"/>
          <w:szCs w:val="24"/>
          <w:lang w:val="hy-AM"/>
        </w:rPr>
        <w:tab/>
        <w:t>ՄՉԱ</w:t>
      </w:r>
      <w:r w:rsidR="00320080" w:rsidRPr="00EB1A06">
        <w:rPr>
          <w:rFonts w:ascii="Sylfaen" w:hAnsi="Sylfaen"/>
          <w:sz w:val="24"/>
          <w:szCs w:val="24"/>
          <w:lang w:val="hy-AM"/>
        </w:rPr>
        <w:t>-</w:t>
      </w:r>
      <w:r w:rsidRPr="00EB1A06">
        <w:rPr>
          <w:rFonts w:ascii="Sylfaen" w:hAnsi="Sylfaen"/>
          <w:sz w:val="24"/>
          <w:szCs w:val="24"/>
          <w:lang w:val="hy-AM"/>
        </w:rPr>
        <w:t>ն (առկայության դեպքում) կամ համընդհանուր (խմբի) անվանումը.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գ)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դեղապատրաստուկի գրանցման հավաստագրի իրավատիրոջ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արտադրողի անվանումները (անասնաբուժական պատրաստուկի գրանցման հավաստագրի իրավատիրոջ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արտադրողի անվանումները).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lastRenderedPageBreak/>
        <w:t>դ)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դեղապատրաստուկի գրանցման հավաստագրի իրավատիրոջ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արտադրողի հասցեն (անասնաբուժական պատրաստուկի գրանցման հավաստագրի իրավատիրոջ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արտադրողի հասցեն).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ե)</w:t>
      </w:r>
      <w:r w:rsidRPr="00EB1A06">
        <w:rPr>
          <w:rFonts w:ascii="Sylfaen" w:hAnsi="Sylfaen"/>
          <w:sz w:val="24"/>
          <w:szCs w:val="24"/>
          <w:lang w:val="hy-AM"/>
        </w:rPr>
        <w:tab/>
        <w:t>դեղաձ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ը.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զ)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ակտիվ դեղագործական բաղադրամասի (ակտիվ դեղագործական բաղադրամասերի) դեղաչափը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(կամ) ակտիվությունը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(կամ) կոնցենտրացիան (եթե կիրառելի է).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է)</w:t>
      </w:r>
      <w:r w:rsidRPr="00EB1A06">
        <w:rPr>
          <w:rFonts w:ascii="Sylfaen" w:hAnsi="Sylfaen"/>
          <w:sz w:val="24"/>
          <w:szCs w:val="24"/>
          <w:lang w:val="hy-AM"/>
        </w:rPr>
        <w:tab/>
        <w:t>դեղապատրաստուկի (անասնաբուժական պատրաստուկի) քանակությունը փաթեթվածքում.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ը)</w:t>
      </w:r>
      <w:r w:rsidRPr="00EB1A06">
        <w:rPr>
          <w:rFonts w:ascii="Sylfaen" w:hAnsi="Sylfaen"/>
          <w:sz w:val="24"/>
          <w:szCs w:val="24"/>
          <w:lang w:val="hy-AM"/>
        </w:rPr>
        <w:tab/>
        <w:t>դեղապատրաստուկի (անասնաբուժական պատրաստուկի) կազմության մասին տեղեկությունները.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թ)</w:t>
      </w:r>
      <w:r w:rsidRPr="00EB1A06">
        <w:rPr>
          <w:rFonts w:ascii="Sylfaen" w:hAnsi="Sylfaen"/>
          <w:sz w:val="24"/>
          <w:szCs w:val="24"/>
          <w:lang w:val="hy-AM"/>
        </w:rPr>
        <w:tab/>
        <w:t>սերիայի համարը.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ժ)</w:t>
      </w:r>
      <w:r w:rsidRPr="00EB1A06">
        <w:rPr>
          <w:rFonts w:ascii="Sylfaen" w:hAnsi="Sylfaen"/>
          <w:sz w:val="24"/>
          <w:szCs w:val="24"/>
          <w:lang w:val="hy-AM"/>
        </w:rPr>
        <w:tab/>
        <w:t>արտադրման ամսաթիվը.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ժա)</w:t>
      </w:r>
      <w:r w:rsidRPr="00EB1A06">
        <w:rPr>
          <w:rFonts w:ascii="Sylfaen" w:hAnsi="Sylfaen"/>
          <w:sz w:val="24"/>
          <w:szCs w:val="24"/>
          <w:lang w:val="hy-AM"/>
        </w:rPr>
        <w:tab/>
        <w:t>պիտանիության ժամկետը լրանալու ամսաթիվը («պիտանի է մինչ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...»).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ժբ)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պահպանման պայմանները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անհրաժեշտության դեպքում՝ տրանսպորտային փոխադրման պայմանները.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ժգ)</w:t>
      </w:r>
      <w:r w:rsidRPr="00EB1A06">
        <w:rPr>
          <w:rFonts w:ascii="Sylfaen" w:hAnsi="Sylfaen"/>
          <w:sz w:val="24"/>
          <w:szCs w:val="24"/>
          <w:lang w:val="hy-AM"/>
        </w:rPr>
        <w:tab/>
        <w:t>ներմուծման ուղին.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ժդ)</w:t>
      </w:r>
      <w:r w:rsidRPr="00EB1A06">
        <w:rPr>
          <w:rFonts w:ascii="Sylfaen" w:hAnsi="Sylfaen"/>
          <w:sz w:val="24"/>
          <w:szCs w:val="24"/>
          <w:lang w:val="hy-AM"/>
        </w:rPr>
        <w:tab/>
        <w:t>բացթողման պայմանները.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ժե)</w:t>
      </w:r>
      <w:r w:rsidRPr="00EB1A06">
        <w:rPr>
          <w:rFonts w:ascii="Sylfaen" w:hAnsi="Sylfaen"/>
          <w:sz w:val="24"/>
          <w:szCs w:val="24"/>
          <w:lang w:val="hy-AM"/>
        </w:rPr>
        <w:tab/>
        <w:t>նախազգուշացնող գրառումները։</w:t>
      </w:r>
    </w:p>
    <w:p w:rsidR="00EA7BBD" w:rsidRPr="00EB1A06" w:rsidRDefault="00EA7BBD" w:rsidP="00320080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9.</w:t>
      </w:r>
      <w:r w:rsidRPr="00EB1A06">
        <w:rPr>
          <w:rFonts w:ascii="Sylfaen" w:hAnsi="Sylfaen"/>
          <w:sz w:val="24"/>
          <w:szCs w:val="24"/>
          <w:lang w:val="hy-AM"/>
        </w:rPr>
        <w:tab/>
        <w:t>Ինչպես կոնսերվանտով, այնպես էլ առանց կոնսերվանտի թողարկվող պատրաստուկների համար առանց կոնսերվանտի արտադրանք բաց թողնելու դեպքում փաթեթվածքների վրա օժանդակ նյութերի ցանկից հետո նշվում են հետ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յալ տեղեկությունները՝ «Չի պարունակում կոնսերվանտ»։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10.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Միջանկյալ փաթեթվածքի վրա, որը թույլ չի տալիս առանց դրա ամբողջականությունը խախտելու կարդալ առաջնային փաթեթվածքի վրա առկա </w:t>
      </w:r>
      <w:r w:rsidRPr="00EB1A06">
        <w:rPr>
          <w:rFonts w:ascii="Sylfaen" w:hAnsi="Sylfaen"/>
          <w:sz w:val="24"/>
          <w:szCs w:val="24"/>
          <w:lang w:val="hy-AM"/>
        </w:rPr>
        <w:lastRenderedPageBreak/>
        <w:t>տեղեկատվությունը, առնվազն պետք է կրկնվի առաջնային փաթեթվածքի վրա նշված տեղեկատվությունը։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11.</w:t>
      </w:r>
      <w:r w:rsidRPr="00EB1A06">
        <w:rPr>
          <w:rFonts w:ascii="Sylfaen" w:hAnsi="Sylfaen"/>
          <w:sz w:val="24"/>
          <w:szCs w:val="24"/>
          <w:lang w:val="hy-AM"/>
        </w:rPr>
        <w:tab/>
        <w:t>Ակտիվ դեղագործական բաղադրամասերի փաթեթվածքի վրա նշվում է հետ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յալ տեղեկատվությունը՝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ա)</w:t>
      </w:r>
      <w:r w:rsidRPr="00EB1A06">
        <w:rPr>
          <w:rFonts w:ascii="Sylfaen" w:hAnsi="Sylfaen"/>
          <w:sz w:val="24"/>
          <w:szCs w:val="24"/>
          <w:lang w:val="hy-AM"/>
        </w:rPr>
        <w:tab/>
        <w:t>ակտիվ դեղագործական բաղադրամասի առ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տրային անվանումը (առկայության դեպքում).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բ)</w:t>
      </w:r>
      <w:r w:rsidRPr="00EB1A06">
        <w:rPr>
          <w:rFonts w:ascii="Sylfaen" w:hAnsi="Sylfaen"/>
          <w:sz w:val="24"/>
          <w:szCs w:val="24"/>
          <w:lang w:val="hy-AM"/>
        </w:rPr>
        <w:tab/>
        <w:t>ՄՉԱ</w:t>
      </w:r>
      <w:r w:rsidR="00320080" w:rsidRPr="00EB1A06">
        <w:rPr>
          <w:rFonts w:ascii="Sylfaen" w:hAnsi="Sylfaen"/>
          <w:sz w:val="24"/>
          <w:szCs w:val="24"/>
          <w:lang w:val="hy-AM"/>
        </w:rPr>
        <w:t>-</w:t>
      </w:r>
      <w:r w:rsidRPr="00EB1A06">
        <w:rPr>
          <w:rFonts w:ascii="Sylfaen" w:hAnsi="Sylfaen"/>
          <w:sz w:val="24"/>
          <w:szCs w:val="24"/>
          <w:lang w:val="hy-AM"/>
        </w:rPr>
        <w:t>ն կամ համընդհանուր (խմբի) անվանումը.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գ)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ակտիվ դեղագործական բաղադրամաս արտադրողի անվանումը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հասցեն.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դ)</w:t>
      </w:r>
      <w:r w:rsidRPr="00EB1A06">
        <w:rPr>
          <w:rFonts w:ascii="Sylfaen" w:hAnsi="Sylfaen"/>
          <w:sz w:val="24"/>
          <w:szCs w:val="24"/>
          <w:lang w:val="hy-AM"/>
        </w:rPr>
        <w:tab/>
        <w:t>սերիայի համարը.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ե)</w:t>
      </w:r>
      <w:r w:rsidRPr="00EB1A06">
        <w:rPr>
          <w:rFonts w:ascii="Sylfaen" w:hAnsi="Sylfaen"/>
          <w:sz w:val="24"/>
          <w:szCs w:val="24"/>
          <w:lang w:val="hy-AM"/>
        </w:rPr>
        <w:tab/>
        <w:t>արտադրման ամսաթիվը.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զ)</w:t>
      </w:r>
      <w:r w:rsidRPr="00EB1A06">
        <w:rPr>
          <w:rFonts w:ascii="Sylfaen" w:hAnsi="Sylfaen"/>
          <w:sz w:val="24"/>
          <w:szCs w:val="24"/>
          <w:lang w:val="hy-AM"/>
        </w:rPr>
        <w:tab/>
        <w:t>ակտիվ դեղագործական բաղադրամասի քանակությունը փաթեթվածքում.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է)</w:t>
      </w:r>
      <w:r w:rsidRPr="00EB1A06">
        <w:rPr>
          <w:rFonts w:ascii="Sylfaen" w:hAnsi="Sylfaen"/>
          <w:sz w:val="24"/>
          <w:szCs w:val="24"/>
          <w:lang w:val="hy-AM"/>
        </w:rPr>
        <w:tab/>
        <w:t>պիտանիության ժամկետը լրանալու ամսաթիվը («պիտանի է մինչ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...») կամ եթե նախատեսված է՝ կրկնակի փորձարկման ամսաթիվը.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ը)</w:t>
      </w:r>
      <w:r w:rsidRPr="00EB1A06">
        <w:rPr>
          <w:rFonts w:ascii="Sylfaen" w:hAnsi="Sylfaen"/>
          <w:sz w:val="24"/>
          <w:szCs w:val="24"/>
          <w:lang w:val="hy-AM"/>
        </w:rPr>
        <w:tab/>
        <w:t>պահպանման պայմանները.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թ)</w:t>
      </w:r>
      <w:r w:rsidRPr="00EB1A06">
        <w:rPr>
          <w:rFonts w:ascii="Sylfaen" w:hAnsi="Sylfaen"/>
          <w:sz w:val="24"/>
          <w:szCs w:val="24"/>
          <w:lang w:val="hy-AM"/>
        </w:rPr>
        <w:tab/>
        <w:t>նշանակությունը։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12.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Լրակազմի (լուծիչով (նոսրացուցիչով) դեղապատրաստուկ (անասնաբուժական պատրաստուկ)) կամ հավաքածուի (2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ավելի դեղապատրաստուկներից (անասնաբուժական պատրաստուկներից) բաղկացած լրակազմի) համար երկրորդային փաթեթվածքի վրա լրացուցիչ նշվում է հետ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յալ տեղեկատվությունը՝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ա)</w:t>
      </w:r>
      <w:r w:rsidRPr="00EB1A06">
        <w:rPr>
          <w:rFonts w:ascii="Sylfaen" w:hAnsi="Sylfaen"/>
          <w:sz w:val="24"/>
          <w:szCs w:val="24"/>
          <w:lang w:val="hy-AM"/>
        </w:rPr>
        <w:tab/>
        <w:t>լրակազմի (հավաքածուի) բաղադրատարրերի մասին տեղեկությունները՝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բաղադրատարրերի անվանումները,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ակտիվ դեղագործական բաղադրամասի (ակտիվ դեղագործական </w:t>
      </w:r>
      <w:r w:rsidRPr="00EB1A06">
        <w:rPr>
          <w:rFonts w:ascii="Sylfaen" w:hAnsi="Sylfaen"/>
          <w:sz w:val="24"/>
          <w:szCs w:val="24"/>
          <w:lang w:val="hy-AM"/>
        </w:rPr>
        <w:lastRenderedPageBreak/>
        <w:t xml:space="preserve">բաղադրամասերի) դեղաչափը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(կամ) ակտիվությունը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(կամ) կոնցենտրացիան (եթե կիրառելի է),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կազմության մասին տեղեկատվությունը,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քանակը,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սերիայի համարը (սույն պահանջների 28</w:t>
      </w:r>
      <w:r w:rsidR="00320080" w:rsidRPr="00EB1A06">
        <w:rPr>
          <w:rFonts w:ascii="Sylfaen" w:hAnsi="Sylfaen"/>
          <w:sz w:val="24"/>
          <w:szCs w:val="24"/>
          <w:lang w:val="hy-AM"/>
        </w:rPr>
        <w:t>-</w:t>
      </w:r>
      <w:r w:rsidRPr="00EB1A06">
        <w:rPr>
          <w:rFonts w:ascii="Sylfaen" w:hAnsi="Sylfaen"/>
          <w:sz w:val="24"/>
          <w:szCs w:val="24"/>
          <w:lang w:val="hy-AM"/>
        </w:rPr>
        <w:t xml:space="preserve">րդ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29</w:t>
      </w:r>
      <w:r w:rsidR="00320080" w:rsidRPr="00EB1A06">
        <w:rPr>
          <w:rFonts w:ascii="Sylfaen" w:hAnsi="Sylfaen"/>
          <w:sz w:val="24"/>
          <w:szCs w:val="24"/>
          <w:lang w:val="hy-AM"/>
        </w:rPr>
        <w:t>-</w:t>
      </w:r>
      <w:r w:rsidRPr="00EB1A06">
        <w:rPr>
          <w:rFonts w:ascii="Sylfaen" w:hAnsi="Sylfaen"/>
          <w:sz w:val="24"/>
          <w:szCs w:val="24"/>
          <w:lang w:val="hy-AM"/>
        </w:rPr>
        <w:t>րդ կետերին համապատասխան).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բ)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օժանդակ բժշկական արտադրատեսակների (ներարկիչներ, խծուծներ, ներմուծման հարմարանքներ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նմ.) առկայության մասին տեղեկությունները։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13.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Չի թույլատրվում փաթեթվածքի վրա զետեղել ընտրովի տեղեկություններ, որոնք նշված են տվյալ դեղապատրաստուկի ընդհանուր բնութագրի «կլինիկական տվյալներ»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«ֆարմակոդինամիկական հատկություններ» բաժիններում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տվյալ դեղապատրաստուկի բժշկական կիրառման ցուցումների (ներդիր-թերթիկի) համարժեք բաժիններում։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Թույլատրվում է փաթեթվածքի վրա զետեղել դեղապատրաստուկի բժշկական կիրառման ցուցումների (ներդիր-թերթիկի) տեքստը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անասնաբուժական պատրաստուկի կիրառման ցուցումների (ներդիր-թերթիկի) տեքստը։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14.</w:t>
      </w:r>
      <w:r w:rsidRPr="00EB1A06">
        <w:rPr>
          <w:rFonts w:ascii="Sylfaen" w:hAnsi="Sylfaen"/>
          <w:sz w:val="24"/>
          <w:szCs w:val="24"/>
          <w:lang w:val="hy-AM"/>
        </w:rPr>
        <w:tab/>
        <w:t>Թույլատրվում է դեղապատրաստուկի (անասնաբուժական պատրաստուկի) երկրորդային փաթեթվածքի վրա զետեղել լրացուցիչ տեղեկատվություն՝ գրանցման ցանկի փաստաթղթերին դրա համապատասխանության պայմանով։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Թույլատրվում է փաթեթվածքի վրա գծանիշի (շտրիխ կոդի), հոլոգրաֆիկ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պաշտպանիչ այլ նշանների, սթիքերների տեղակայումը, այլ լեզուների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Բրայլի տառատեսակի օգտագործմամբ մականշվածքի տեքստի կրկնօրինակումը, պայմանանշանների կամ պատկերագրերի տեղակայումը, որոնք օգնում են սպառողի (ձեռք բերողի) համար պարզաբանել դեղապատրաստուկի (անասնաբուժական պատրաստուկի) մասին տեղեկատվությունը։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lastRenderedPageBreak/>
        <w:t>15.</w:t>
      </w:r>
      <w:r w:rsidRPr="00EB1A06">
        <w:rPr>
          <w:rFonts w:ascii="Sylfaen" w:hAnsi="Sylfaen"/>
          <w:sz w:val="24"/>
          <w:szCs w:val="24"/>
          <w:lang w:val="hy-AM"/>
        </w:rPr>
        <w:tab/>
        <w:t>Դեղապատրաստուկի միջանկյալ կամ երկրորդային փաթեթվածքում խոնավակլանիչով կապոցիկների (կամ հաբերի) առկայության դեպքում դրանց վրա պետք է զետեղվի համապատասխան բովանդակությամբ նախազգուշացնող մականշվածք՝ «Սիլիկագել, ոչ ուտելի, խոնավակլանիչ»։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16.</w:t>
      </w:r>
      <w:r w:rsidRPr="00EB1A06">
        <w:rPr>
          <w:rFonts w:ascii="Sylfaen" w:hAnsi="Sylfaen"/>
          <w:sz w:val="24"/>
          <w:szCs w:val="24"/>
          <w:lang w:val="hy-AM"/>
        </w:rPr>
        <w:tab/>
        <w:t>Չբաժնեծրարված արտադրանքի փաթեթվածքի տրանսպորտային տարայի վրա նշվում է հետ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յալ տեղեկատվությունը՝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ա)</w:t>
      </w:r>
      <w:r w:rsidRPr="00EB1A06">
        <w:rPr>
          <w:rFonts w:ascii="Sylfaen" w:hAnsi="Sylfaen"/>
          <w:sz w:val="24"/>
          <w:szCs w:val="24"/>
          <w:lang w:val="hy-AM"/>
        </w:rPr>
        <w:tab/>
        <w:t>դեղապատրաստուկի (անասնաբուժական պատրաստուկի) առ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տրային անվանումը.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բ)</w:t>
      </w:r>
      <w:r w:rsidRPr="00EB1A06">
        <w:rPr>
          <w:rFonts w:ascii="Sylfaen" w:hAnsi="Sylfaen"/>
          <w:sz w:val="24"/>
          <w:szCs w:val="24"/>
          <w:lang w:val="hy-AM"/>
        </w:rPr>
        <w:tab/>
        <w:t>դեղաձ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ը.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գ)</w:t>
      </w:r>
      <w:r w:rsidRPr="00EB1A06">
        <w:rPr>
          <w:rFonts w:ascii="Sylfaen" w:hAnsi="Sylfaen"/>
          <w:sz w:val="24"/>
          <w:szCs w:val="24"/>
          <w:lang w:val="hy-AM"/>
        </w:rPr>
        <w:tab/>
        <w:t>ՄՉԱ</w:t>
      </w:r>
      <w:r w:rsidR="00320080" w:rsidRPr="00EB1A06">
        <w:rPr>
          <w:rFonts w:ascii="Sylfaen" w:hAnsi="Sylfaen"/>
          <w:sz w:val="24"/>
          <w:szCs w:val="24"/>
          <w:lang w:val="hy-AM"/>
        </w:rPr>
        <w:t>-</w:t>
      </w:r>
      <w:r w:rsidRPr="00EB1A06">
        <w:rPr>
          <w:rFonts w:ascii="Sylfaen" w:hAnsi="Sylfaen"/>
          <w:sz w:val="24"/>
          <w:szCs w:val="24"/>
          <w:lang w:val="hy-AM"/>
        </w:rPr>
        <w:t>ն.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դ)</w:t>
      </w:r>
      <w:r w:rsidRPr="00EB1A06">
        <w:rPr>
          <w:rFonts w:ascii="Sylfaen" w:hAnsi="Sylfaen"/>
          <w:sz w:val="24"/>
          <w:szCs w:val="24"/>
          <w:lang w:val="hy-AM"/>
        </w:rPr>
        <w:tab/>
        <w:t>դեղաչափը.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ե)</w:t>
      </w:r>
      <w:r w:rsidRPr="00EB1A06">
        <w:rPr>
          <w:rFonts w:ascii="Sylfaen" w:hAnsi="Sylfaen"/>
          <w:sz w:val="24"/>
          <w:szCs w:val="24"/>
          <w:lang w:val="hy-AM"/>
        </w:rPr>
        <w:tab/>
        <w:t>արտադրողի անվանումը, երկիրը.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զ)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տրանսպորտային տարայում փաթեթվածքների քանակը (եթե արտադրանքը բաժնեծրարված չէ, կարող են նշվել նետտո զանգվածը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բրուտտո զանգվածը).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է)</w:t>
      </w:r>
      <w:r w:rsidRPr="00EB1A06">
        <w:rPr>
          <w:rFonts w:ascii="Sylfaen" w:hAnsi="Sylfaen"/>
          <w:sz w:val="24"/>
          <w:szCs w:val="24"/>
          <w:lang w:val="hy-AM"/>
        </w:rPr>
        <w:tab/>
        <w:t>պահպանման պայմանները.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ը)</w:t>
      </w:r>
      <w:r w:rsidRPr="00EB1A06">
        <w:rPr>
          <w:rFonts w:ascii="Sylfaen" w:hAnsi="Sylfaen"/>
          <w:sz w:val="24"/>
          <w:szCs w:val="24"/>
          <w:lang w:val="hy-AM"/>
        </w:rPr>
        <w:tab/>
        <w:t>սերիայի համարը.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թ)</w:t>
      </w:r>
      <w:r w:rsidRPr="00EB1A06">
        <w:rPr>
          <w:rFonts w:ascii="Sylfaen" w:hAnsi="Sylfaen"/>
          <w:sz w:val="24"/>
          <w:szCs w:val="24"/>
          <w:lang w:val="hy-AM"/>
        </w:rPr>
        <w:tab/>
        <w:t>արտադրման ամսաթիվը.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ժ)</w:t>
      </w:r>
      <w:r w:rsidRPr="00EB1A06">
        <w:rPr>
          <w:rFonts w:ascii="Sylfaen" w:hAnsi="Sylfaen"/>
          <w:sz w:val="24"/>
          <w:szCs w:val="24"/>
          <w:lang w:val="hy-AM"/>
        </w:rPr>
        <w:tab/>
        <w:t>պիտանիության ժամկետը լրանալու ամսաթիվը («պիտանի է մինչ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...»)։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Անհրաժեշտության դեպքում կարող են նշվել արտադրանքն արտադրողի տարբերանշանը, տրանսպորտային փոխադրման պայմանները, նախազգուշացնող գրառումներն ու ուղղորդող նշանները։</w:t>
      </w:r>
    </w:p>
    <w:p w:rsidR="006C0C66" w:rsidRPr="00EB1A06" w:rsidRDefault="006C0C66" w:rsidP="00EA7BBD">
      <w:pPr>
        <w:pStyle w:val="Bodytext20"/>
        <w:shd w:val="clear" w:color="auto" w:fill="auto"/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</w:p>
    <w:p w:rsidR="006C0C66" w:rsidRPr="00EB1A06" w:rsidRDefault="006C0C66" w:rsidP="00EA7BBD">
      <w:pPr>
        <w:pStyle w:val="Bodytext20"/>
        <w:shd w:val="clear" w:color="auto" w:fill="auto"/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547"/>
        <w:jc w:val="center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lastRenderedPageBreak/>
        <w:t>III. Մականշվածքի տեքստին ներկայացվող պահանջները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17.</w:t>
      </w:r>
      <w:r w:rsidRPr="00EB1A06">
        <w:rPr>
          <w:rFonts w:ascii="Sylfaen" w:hAnsi="Sylfaen"/>
          <w:sz w:val="24"/>
          <w:szCs w:val="24"/>
          <w:lang w:val="hy-AM"/>
        </w:rPr>
        <w:tab/>
        <w:t>Դեղապատրաստուկի (անասնաբուժական պատրաստուկի) առ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տրային անվանումը փաթեթվածքի վրա նշվում է ուղղական հոլովով։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Դեղաբուսական պատրաստուկների համար լրացուցիչ նշվում է դեղաբուսական հումքի կամ բուսական ծագում ունեցող ակտիվ դեղագործական բաղադրամասի անվանումը՝ լատիներենով (բացառությամբ հավաքվածքների անվանման)՝ հոգնակի թվով (բացառությամբ «խոտ»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«կեղ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» բառերի),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կշռածրարված արտադրանքի տեսակի անվանումը (օրինակ՝ «ամբողջական», «մանրացված», «փոշի»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նմ.)։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18.</w:t>
      </w:r>
      <w:r w:rsidRPr="00EB1A06">
        <w:rPr>
          <w:rFonts w:ascii="Sylfaen" w:hAnsi="Sylfaen"/>
          <w:sz w:val="24"/>
          <w:szCs w:val="24"/>
          <w:lang w:val="hy-AM"/>
        </w:rPr>
        <w:tab/>
        <w:t>Դեղապատրաստուկի (անասնաբուժական պատրաստուկի) կազմության մեջ ակտիվ դեղագործական բաղադրամասերի ՄՉԱ</w:t>
      </w:r>
      <w:r w:rsidR="00320080" w:rsidRPr="00EB1A06">
        <w:rPr>
          <w:rFonts w:ascii="Sylfaen" w:hAnsi="Sylfaen"/>
          <w:sz w:val="24"/>
          <w:szCs w:val="24"/>
          <w:lang w:val="hy-AM"/>
        </w:rPr>
        <w:t>-</w:t>
      </w:r>
      <w:r w:rsidRPr="00EB1A06">
        <w:rPr>
          <w:rFonts w:ascii="Sylfaen" w:hAnsi="Sylfaen"/>
          <w:sz w:val="24"/>
          <w:szCs w:val="24"/>
          <w:lang w:val="hy-AM"/>
        </w:rPr>
        <w:t xml:space="preserve">ն նշվում է ռուսերենով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(կամ) անգլերենով (Առողջապահության համաշխարհային կազմակերպության ՄՉԱ</w:t>
      </w:r>
      <w:r w:rsidR="00320080" w:rsidRPr="00EB1A06">
        <w:rPr>
          <w:rFonts w:ascii="Sylfaen" w:hAnsi="Sylfaen"/>
          <w:sz w:val="24"/>
          <w:szCs w:val="24"/>
          <w:lang w:val="hy-AM"/>
        </w:rPr>
        <w:t>-</w:t>
      </w:r>
      <w:r w:rsidRPr="00EB1A06">
        <w:rPr>
          <w:rFonts w:ascii="Sylfaen" w:hAnsi="Sylfaen"/>
          <w:sz w:val="24"/>
          <w:szCs w:val="24"/>
          <w:lang w:val="hy-AM"/>
        </w:rPr>
        <w:t>ի ցանկի անգլերեն խմբագրությանը համապատասխան)՝ ուղղական հոլովով։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ՄՉԱ</w:t>
      </w:r>
      <w:r w:rsidR="00320080" w:rsidRPr="00EB1A06">
        <w:rPr>
          <w:rFonts w:ascii="Sylfaen" w:hAnsi="Sylfaen"/>
          <w:sz w:val="24"/>
          <w:szCs w:val="24"/>
          <w:lang w:val="hy-AM"/>
        </w:rPr>
        <w:t>-</w:t>
      </w:r>
      <w:r w:rsidRPr="00EB1A06">
        <w:rPr>
          <w:rFonts w:ascii="Sylfaen" w:hAnsi="Sylfaen"/>
          <w:sz w:val="24"/>
          <w:szCs w:val="24"/>
          <w:lang w:val="hy-AM"/>
        </w:rPr>
        <w:t>ի բացակայության դեպքում նշվում է համընդհանուր (խմբի) անվանումը՝ ռուսերենով՝ ուղղական հոլովով։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Թույլատրվում է չնշել դեղապատրաստուկների (անասնաբուժական պատրաստուկների) ՄՉԱ</w:t>
      </w:r>
      <w:r w:rsidR="00320080" w:rsidRPr="00EB1A06">
        <w:rPr>
          <w:rFonts w:ascii="Sylfaen" w:hAnsi="Sylfaen"/>
          <w:sz w:val="24"/>
          <w:szCs w:val="24"/>
          <w:lang w:val="hy-AM"/>
        </w:rPr>
        <w:t>-</w:t>
      </w:r>
      <w:r w:rsidRPr="00EB1A06">
        <w:rPr>
          <w:rFonts w:ascii="Sylfaen" w:hAnsi="Sylfaen"/>
          <w:sz w:val="24"/>
          <w:szCs w:val="24"/>
          <w:lang w:val="hy-AM"/>
        </w:rPr>
        <w:t>ն կամ համընդհանուր (խմբի) անվանումը, եթե դրանք ամբողջությամբ համընկնում են առ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տրային անվանման հետ։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Հետերոլոգիական շիճուկների առնչությամբ նշվում է այն կենդանու տեսակը, որի արյունից կամ պլազմայից դրանք ստացվել են։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Կենսաբանական ծագում ունեցող դեղապատրաստուկների (անասնաբուժական պատրաստուկների) համար ՄՉԱ</w:t>
      </w:r>
      <w:r w:rsidR="00320080" w:rsidRPr="00EB1A06">
        <w:rPr>
          <w:rFonts w:ascii="Sylfaen" w:hAnsi="Sylfaen"/>
          <w:sz w:val="24"/>
          <w:szCs w:val="24"/>
          <w:lang w:val="hy-AM"/>
        </w:rPr>
        <w:t>-</w:t>
      </w:r>
      <w:r w:rsidRPr="00EB1A06">
        <w:rPr>
          <w:rFonts w:ascii="Sylfaen" w:hAnsi="Sylfaen"/>
          <w:sz w:val="24"/>
          <w:szCs w:val="24"/>
          <w:lang w:val="hy-AM"/>
        </w:rPr>
        <w:t>ի կամ համընդհանուր (խմբի) անվանման բացակայության դեպքում նշվում է պատրաստուկի ստացման աղբյուրը։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Ռադիոդեղագործական դեղամիջոցների (անասնաբուժական միջոցների) համար նշվում է քիմիական տարրի նշանը՝ ռադիոնուկլիդի ցուցիչով,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</w:t>
      </w:r>
      <w:r w:rsidRPr="00EB1A06">
        <w:rPr>
          <w:rFonts w:ascii="Sylfaen" w:hAnsi="Sylfaen"/>
          <w:sz w:val="24"/>
          <w:szCs w:val="24"/>
          <w:lang w:val="hy-AM"/>
        </w:rPr>
        <w:lastRenderedPageBreak/>
        <w:t>ռադիոակտիվության միջազգային պայմանանշանը։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19.</w:t>
      </w:r>
      <w:r w:rsidRPr="00EB1A06">
        <w:rPr>
          <w:rFonts w:ascii="Sylfaen" w:hAnsi="Sylfaen"/>
          <w:sz w:val="24"/>
          <w:szCs w:val="24"/>
          <w:lang w:val="hy-AM"/>
        </w:rPr>
        <w:tab/>
      </w:r>
      <w:r w:rsidR="00CA26B4" w:rsidRPr="00EB1A06">
        <w:rPr>
          <w:rFonts w:ascii="Sylfaen" w:hAnsi="Sylfaen"/>
          <w:sz w:val="24"/>
          <w:szCs w:val="24"/>
          <w:lang w:val="hy-AM"/>
        </w:rPr>
        <w:t xml:space="preserve">Դեղապատրաստուկի գրանցման հավաստագրի իրավատիրոջ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="00CA26B4" w:rsidRPr="00EB1A06">
        <w:rPr>
          <w:rFonts w:ascii="Sylfaen" w:hAnsi="Sylfaen"/>
          <w:sz w:val="24"/>
          <w:szCs w:val="24"/>
          <w:lang w:val="hy-AM"/>
        </w:rPr>
        <w:t xml:space="preserve"> արտադրողի անվանումները (անասնաբուժական պատրաստուկի գրանցման հավաստագրի իրավատիրոջ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="00CA26B4" w:rsidRPr="00EB1A06">
        <w:rPr>
          <w:rFonts w:ascii="Sylfaen" w:hAnsi="Sylfaen"/>
          <w:sz w:val="24"/>
          <w:szCs w:val="24"/>
          <w:lang w:val="hy-AM"/>
        </w:rPr>
        <w:t xml:space="preserve"> արտադրողի անվանումները) նշվում են ուղղական հոլովով։ Այն դեպքում, երբ արտադրությանը մասնակցում է մի քանի արտադրող, պարտադիր կերպով նշվում է դեղամիջոցի (անասնաբուժական միջոցի) բացթողման որակի վերահսկողություն իրականացնող արտադրողի անվանումը։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Դեղապատրաստուկի գրանցման հավաստագրի իրավատիրոջ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արտադրողի անվանումները (անասնաբուժական պատրաստուկի գրանցման հավաստագրի իրավատիրոջ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արտադրողի անվանումները) համընկնելու դեպքում նշվում է միայն դեղապատրաստուկի գրանցման հավաստագրի իրավատիրոջ անվանումը (անասնաբուժական պատրաստուկի գրանցման հավաստագրի իրավատիրոջ անվանումը)։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Անհրաժեշտության դեպքում նշվում է կշռածրարում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(կամ) փաթեթավորում իրականացնող կազմակերպության անվանումը՝ «բաժնեծրարված է»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(կամ) «փաթեթավորված է», «փաթեթավորող» նախորդող բառերով։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20.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Հասցեները նշվում են կրճատ (երկիրը կամ երկիրը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քաղաքը) կամ ամբողջությամբ, լրացուցիչ թույլատրվում է նշել հեռախոսի, ֆաքսի համարները, էլեկտրոնային փոստի հասցեները։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Այն դեպքում, երբ դեղապատրաստուկի գրանցման հավաստագրի իրավատերը (անասնաբուժական պատրաստուկի գրանցման հավաստագրի իրավատերը) հանդիսանում է դեղապատրաստուկ (անասնաբուժական պատրաստուկ) արտադրողը, նշվում է միայն դեղապատրաստուկի գրանցման հավաստագրի իրավատիրոջ (անասնաբուժական պատրաստուկի գրանցման հավաստագրի իրավատիրոջ) հասցեն։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21.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Ակտիվ դեղագործական բաղադրամասի (ակտիվ դեղագործական բաղադրամասերի) դեղաչափը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(կամ) ակտիվությունը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(կամ) կոնցենտրացիան </w:t>
      </w:r>
      <w:r w:rsidRPr="00EB1A06">
        <w:rPr>
          <w:rFonts w:ascii="Sylfaen" w:hAnsi="Sylfaen"/>
          <w:sz w:val="24"/>
          <w:szCs w:val="24"/>
          <w:lang w:val="hy-AM"/>
        </w:rPr>
        <w:lastRenderedPageBreak/>
        <w:t>նշվում են չափման միավորների պարտադիր նշումով։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22.</w:t>
      </w:r>
      <w:r w:rsidRPr="00EB1A06">
        <w:rPr>
          <w:rFonts w:ascii="Sylfaen" w:hAnsi="Sylfaen"/>
          <w:sz w:val="24"/>
          <w:szCs w:val="24"/>
          <w:lang w:val="hy-AM"/>
        </w:rPr>
        <w:tab/>
        <w:t>Փաթեթվածքում դեղամիջոցի (անասնաբուժական միջոցի) քանակությունը նշվում է՝ ըստ զանգվածի, ծավալի կամ դեղաչափման միավորների քանակի՝ պայմանավորված դեղաձ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ով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փաթեթավորման տեսակով։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Դեղաբուսական պատրաստուկների համար դեղաբուսական հումքի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(կամ) բուսական ծագում ունեցող ակտիվ </w:t>
      </w:r>
      <w:r w:rsidR="00CA26B4" w:rsidRPr="00EB1A06">
        <w:rPr>
          <w:rFonts w:ascii="Sylfaen" w:hAnsi="Sylfaen"/>
          <w:sz w:val="24"/>
          <w:szCs w:val="24"/>
          <w:lang w:val="hy-AM"/>
        </w:rPr>
        <w:t>դեղագործական</w:t>
      </w:r>
      <w:r w:rsidRPr="00EB1A06">
        <w:rPr>
          <w:rFonts w:ascii="Sylfaen" w:hAnsi="Sylfaen"/>
          <w:sz w:val="24"/>
          <w:szCs w:val="24"/>
          <w:lang w:val="hy-AM"/>
        </w:rPr>
        <w:t xml:space="preserve"> բաղադրամասի զանգվածը նշվում է դրանց որոշակի խոնավության դեպքում։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Կենսաբանական դեղապատրաստուկի դեղաչափը (ակտիվությունը) արտահայտվում է դեղապատրաստուկների բժշկական կիրառման ցուցումներին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բժշկական կիրառման դեղապատրաստուկների ընդհանուր բնութագրին ներկայացվող՝ Հանձնաժողովի կողմից հաստատվող պահանջներին համապատասխան։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Ռադիոդեղագործական դեղապատրաստուկների (անասնաբուժական պատրաստուկների) համար նշվում է ռադիոակտիվության միավորների քանակը՝ դեղաչափի կամ առաջնային փաթեթվածքի մեջ։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23.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Դեղապատրաստուկների (անասնաբուժական պատրաստուկների) բաղադրության մեջ նշվում են ակտիվ դեղագործական բաղադրամասերը (բաղադրատարրերը)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դրանց քանակը։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24.</w:t>
      </w:r>
      <w:r w:rsidRPr="00EB1A06">
        <w:rPr>
          <w:rFonts w:ascii="Sylfaen" w:hAnsi="Sylfaen"/>
          <w:sz w:val="24"/>
          <w:szCs w:val="24"/>
          <w:lang w:val="hy-AM"/>
        </w:rPr>
        <w:tab/>
        <w:t>Օժանդակ նյութերը (բաղադրատարրերը) պարտադիր կարգով նշվում են հետ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յալ դեպքերում.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ա)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ներքին ընդունման համար նախատեսված դեղապատրաստուկների (անասնաբուժական պատրաստուկների) դեպքում՝ երկրորդային փաթեթվածքի վրա, եթե դրանք ներառված են ներքին ընդունման դեղապատրաստուկների (անասնաբուժական պատրաստուկների) առաջնային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երկրորդային փաթեթվածքների վրա նշվող օժանդակ նյութերի ցանկում՝ սույն պահանջների հավելվածի համաձայն.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բ)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ներարկումների համար նախատեսված դեղապատրաստուկների </w:t>
      </w:r>
      <w:r w:rsidRPr="00EB1A06">
        <w:rPr>
          <w:rFonts w:ascii="Sylfaen" w:hAnsi="Sylfaen"/>
          <w:sz w:val="24"/>
          <w:szCs w:val="24"/>
          <w:lang w:val="hy-AM"/>
        </w:rPr>
        <w:lastRenderedPageBreak/>
        <w:t>(անասնաբուժական պատրաստուկների), ինչպես նա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մինչ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10 մլ տարողությամբ սրվակիկներով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սրվակներով թողարկվող այլ դեղապատրաստուկների դեպքում՝ երկրորդային փաթեթվածքի վրա, ամբողջական բաղադրությամբ.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գ)</w:t>
      </w:r>
      <w:r w:rsidRPr="00EB1A06">
        <w:rPr>
          <w:rFonts w:ascii="Sylfaen" w:hAnsi="Sylfaen"/>
          <w:sz w:val="24"/>
          <w:szCs w:val="24"/>
          <w:lang w:val="hy-AM"/>
        </w:rPr>
        <w:tab/>
        <w:t>ինհալացիաների համար նախատեսված դեղապատրաստուկների (անասնաբուժական պատրաստուկների) դեպքում՝ երկրորդային փաթեթվածքի վրա, ամբողջական բաղադրությամբ.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դ)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տեղային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(կամ) արտաքին կիրառման համար նախատեսված դեղապատրաստուկների (անասնաբուժական պատրաստուկների) դեպքում՝ երկրորդային փաթեթվածքի վրա, ամբողջական բաղադրությամբ.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ե)</w:t>
      </w:r>
      <w:r w:rsidRPr="00EB1A06">
        <w:rPr>
          <w:rFonts w:ascii="Sylfaen" w:hAnsi="Sylfaen"/>
          <w:sz w:val="24"/>
          <w:szCs w:val="24"/>
          <w:lang w:val="hy-AM"/>
        </w:rPr>
        <w:tab/>
        <w:t>ակնաբուժության մեջ կիրառվող դեղապատրաստուկների (անասնաբուժական պատրաստուկների) դեպքում՝ երկրորդային փաթեթվածքի վրա, ամբողջական բաղադրությամբ.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զ)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ինֆուզիոն լուծույթների դեպքում՝ երկրորդային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առաջնային փաթեթվածքների վրա, ամբողջական բաղադրությամբ։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Դեղապատրաստուկի գրանցման հավաստագրի իրավատերը (անասնաբուժական պատրաստուկի գրանցման հավաստագրի իրավատերը) իրավունք ունի փաթեթվածքների վրա նշելու օժանդակ նյութերի (բաղադրատարրերի) ամբողջական բաղադրությունը։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Ինֆուզիոն լուծույթների դեպքում առաջնային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երկրորդային փաթեթվածքների վրա նշվում է օսմոլյարության (օսմոլյալության) տեսական արժեքը։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Իմունաբանական դեղապատրաստուկների (անասնաբուժական պատրաստուկների) դեպքում երկրորդային փաթեթվածքի վրա նշվում է կոնսերվանտների, սորբենտների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ադյուվանտների քանակական պարունակությունը։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25.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Հոմեոպատիկ դեղապատրաստուկների (անասնաբուժական պատրաստուկների) կազմությունը նշվում է՝ հոմեոպատիայի մեջ ընդունված </w:t>
      </w:r>
      <w:r w:rsidRPr="00EB1A06">
        <w:rPr>
          <w:rFonts w:ascii="Sylfaen" w:hAnsi="Sylfaen"/>
          <w:sz w:val="24"/>
          <w:szCs w:val="24"/>
          <w:lang w:val="hy-AM"/>
        </w:rPr>
        <w:lastRenderedPageBreak/>
        <w:t xml:space="preserve">տերմինաբանության համաձայն. հոմեոպատիկ դեղագործական սուբստանցիաների անվանումները ներկայացվում են լատիներենով՝ նշելով դրանց նոսրացման սանդղակը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աստիճանը. օժանդակ նյութերի անվանումները ներկայացվում են ռուսերենով՝ գրանցման ցանկի փաստաթղթերի համաձայն։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26.</w:t>
      </w:r>
      <w:r w:rsidRPr="00EB1A06">
        <w:rPr>
          <w:rFonts w:ascii="Sylfaen" w:hAnsi="Sylfaen"/>
          <w:sz w:val="24"/>
          <w:szCs w:val="24"/>
          <w:lang w:val="hy-AM"/>
        </w:rPr>
        <w:tab/>
        <w:t>Դեղաբուսական պատրաստուկների դեպքում, որոնք իրենցից ներկայացնում են կշռածրարված դեղաբուսական հումք, կազմությունը նշվում է միայն դեղաբույսերի փնջերի համար։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27.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Ակտիվ դեղագործական բաղադրամասերի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(կամ) օժանդակ նյութերի համար որակի վերահսկողության ստանդարտների հղումները չեն նշվում։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28.</w:t>
      </w:r>
      <w:r w:rsidRPr="00EB1A06">
        <w:rPr>
          <w:rFonts w:ascii="Sylfaen" w:hAnsi="Sylfaen"/>
          <w:sz w:val="24"/>
          <w:szCs w:val="24"/>
          <w:lang w:val="hy-AM"/>
        </w:rPr>
        <w:tab/>
        <w:t>Թույլատրվում է չնշել արտադրման ամսաթիվը, եթե այն ներառված է սերիայի համարում։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29.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Լրակազմի (լուծիչով (նոսրացուցիչով) դեղապատրաստուկի (անասնաբուժական պատրաստուկի)) կամ հավաքածուի (2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ավելի դեղապատրաստուկներից (անասնաբուժական պատրաստուկներից) բաղկացած լրակազմի) համար երկրորդային փաթեթվածքի վրա լրացուցիչ զետեղվում են լրակազմի (հավաքածուի) մեջ մտնող բոլոր դեղապատրաստուկների (անասնաբուժական պատրաստուկների) սերիաների համարները կամ լրակազմի (հավաքածուի) սերիայի համարը։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30.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Դեղապատրաստուկի (անասնաբուժական պատրաստուկի) պիտանիության ժամկետը լրանալու ամսաթիվը զետեղելու դեպքում փաթեթվածքի վրա նշվում են ամիսը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տարին (ընդ որում, ամիսը նշելիս «պիտանիության ժամկետը լրանալու ամսաթիվ» ասելով՝ ենթադրվում է նշված ամսվա վերջին թիվը)։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Անհրաժեշտության դեպքում նշվում են դեղապատրաստուկի (անասնաբուժական պատրաստուկի) պահպանման ժամկետը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պայմանները՝ առաջնային փաթեթվածքն առաջին անգամ բացելուց հետո, կամ պահպանման ժամկետը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պայմանները՝ լուծույթի (կախույթի) պատրաստումից կամ </w:t>
      </w:r>
      <w:r w:rsidRPr="00EB1A06">
        <w:rPr>
          <w:rFonts w:ascii="Sylfaen" w:hAnsi="Sylfaen"/>
          <w:sz w:val="24"/>
          <w:szCs w:val="24"/>
          <w:lang w:val="hy-AM"/>
        </w:rPr>
        <w:lastRenderedPageBreak/>
        <w:t xml:space="preserve">նոսրացումից հետո՝ դեղապատրաստուկի (անասնաբուժական պատրաստուկի) կիրառման ցուցումներին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կայունության ուսումնասիրության տվյալներին համապատասխան՝ հաշվի առնելով դեղապատրաստուկների բժշկական կիրառման ցուցումներին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բժշկական կիրառման դեղապատրաստուկների ընդհանուր բնութագրին ներկայացվող պահանջներով սահմանված դրույթները։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Լրակազմի (լուծիչով (նոսրացուցիչով) դեղապատրաստուկի (անասնաբուժական պատրաստուկի)) կամ հավաքածուի (2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ավելի դեղապատրաստուկներից (անասնաբուժական պատրաստուկներից) բաղկացած լրակազմի) համար երկրորդային փաթեթվածքի վրա զետեղվում են յուրաքանչյուր բաղադրատարրի արտադրման ամսաթիվը կամ տվյալ լրակազմի (հավաքածուի) թողարկման միասնական ամսաթիվը, ինչպես նա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յուրաքանչյուր բաղադրատարրի պիտանիության ժամկետը լրանալու ամսաթիվը, կամ նշվում է լրակազմի (հավաքածուի) պիտանիության ժամկետը լրանալու միասնական ամսաթիվը։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Եթե յուրաքանչյուր բաղադրատարրի պիտանիության ժամկետը լրանալու ամսաթիվը նշված է առանձին, ապա լրակազմի (հավաքածուի) պիտանիության ժամկետը լրանալու ամսաթիվը սահմանվում է լրակազմի (հավաքածուի) մեջ մտնող բաղադրատարրերի պիտանիության ժամկետը լրանալու՝ առավել վաղ ամսաթվով։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31.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Դեղաբուսական պատրաստուկների համար ներկայացվում է ջրային հանուկների պատրաստման մեթոդիկան՝ նշելով ջրային հանուկի պիտանիության ժամկետը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պահպանման պայմանները։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32.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Կիրառման եղանակը (ներմուծման ուղին, ներմուծման եղանակը) նշվում է՝ տվյալ դեղապատրաստուկի ընդհանուր բնութագրին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տվյալ անասնաբուժական պատրաստուկի կիրառման ցուցումներին համապատասխան։ Ներմուծման ուղին (ներմուծման եղանակը) չի նշվում, եթե այն ներառված է դեղաձ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ի անվանման մեջ։ Թույլատրվում է չնշել կիրառման եղանակը՝ ներքին ընդունման համար նախատեսված հաբերի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դեղապատիճների համար։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lastRenderedPageBreak/>
        <w:t>Թույլատրվում է զետեղել հետ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յալ բովանդակությամբ գրառում՝ «Կիրառման եղանակը՝ տե՛ս դեղապատրաստուկի բժշկական կիրառման ցուցումները (ներդիր թերթիկը)» կամ «Կիրառման եղանակը՝ տե՛ս անասնաբուժական պատրաստուկի կիրառման ցուցումները (ներդիր թերթիկը)»։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33.</w:t>
      </w:r>
      <w:r w:rsidRPr="00EB1A06">
        <w:rPr>
          <w:rFonts w:ascii="Sylfaen" w:hAnsi="Sylfaen"/>
          <w:sz w:val="24"/>
          <w:szCs w:val="24"/>
          <w:lang w:val="hy-AM"/>
        </w:rPr>
        <w:tab/>
        <w:t>Ոչ մեծ չափերի առաջնային փաթեթվածքի վրա (տեքստային դաշտի ընդհանուր մակերեսը՝ 10 սմ</w:t>
      </w:r>
      <w:r w:rsidRPr="00EB1A06">
        <w:rPr>
          <w:rFonts w:ascii="Sylfaen" w:hAnsi="Sylfaen"/>
          <w:sz w:val="24"/>
          <w:szCs w:val="24"/>
          <w:vertAlign w:val="superscript"/>
          <w:lang w:val="hy-AM"/>
        </w:rPr>
        <w:t>2</w:t>
      </w:r>
      <w:r w:rsidR="00320080" w:rsidRPr="00EB1A06">
        <w:rPr>
          <w:rFonts w:ascii="Sylfaen" w:hAnsi="Sylfaen"/>
          <w:sz w:val="24"/>
          <w:szCs w:val="24"/>
          <w:lang w:val="hy-AM"/>
        </w:rPr>
        <w:t>-</w:t>
      </w:r>
      <w:r w:rsidRPr="00EB1A06">
        <w:rPr>
          <w:rFonts w:ascii="Sylfaen" w:hAnsi="Sylfaen"/>
          <w:sz w:val="24"/>
          <w:szCs w:val="24"/>
          <w:lang w:val="hy-AM"/>
        </w:rPr>
        <w:t>ից ոչ ավելի), որի վրա հնարավոր չէ տեղավորել անհրաժեշտ ամբողջ տեղեկատվությունը, թույլատրվում է գործածել ներարկման համար նախատեսված դեղապատրաստուկների (անասնաբուժական պատրաստուկների) ներմուծման ուղիների հետ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յալ համընդհանուր հապավումները՝ «ն/ե» (ներերակային ներմուծում), «ն/մ» (ներմկանային ներմուծում), «ե/մ» (ենթամաշկային ներմուծում)։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34.</w:t>
      </w:r>
      <w:r w:rsidRPr="00EB1A06">
        <w:rPr>
          <w:rFonts w:ascii="Sylfaen" w:hAnsi="Sylfaen"/>
          <w:sz w:val="24"/>
          <w:szCs w:val="24"/>
          <w:lang w:val="hy-AM"/>
        </w:rPr>
        <w:tab/>
        <w:t>Փաթեթվածքի վրա բավականաչափ տեքստային դաշտի առկայության դեպքում նախընտրելի է զետեղել դեղապատրաստուկի կիրառման եղանակի մասին ամբողջական տեղեկատվությունը՝ տվյալ դեղապատրաստուկի ընդհանուր բնութագրին, իսկ անասնաբուժական պատրաստուկի դեպքում՝ դրա կիրառման ցուցումներին համապատասխան։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35.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Թմրամիջոցների, հոգեմետ (հոգեներգործուն) նյութերի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դրանց պրեկուրսորների շարքին դասվող դեղապատրաստուկների (անասնաբուժական պատրաստուկների) մակնշման առանձնահատկությունները սահմանվում են անդամ պետությունների օրենսդրությանը համապատասխան։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36.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Դեղապատրաստուկի բացթողման պայմանները նշվում են՝ գրանցման ժամանակ հաստատված բացթողման այն կատեգորիային համապատասխան, որը տրվել է՝ հաշվի առնելով առանց դեղատոմսի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դեղատոմսով բաց թողնվող՝ Հանձնաժողովի կողմից հաստատվող դեղապատրաստուկների կատեգորիաները որոշելու կանոնները, իսկ անասնաբուժական պատրաստուկի բացթողման պայմանները նշվում են դրա կիրառման ցուցումներին համապատասխան։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Միայն ստացիոնար բուժհիմնարկների համար իրացվող դեղապատրաստուկների (անասնաբուժական պատրաստուկների) համար </w:t>
      </w:r>
      <w:r w:rsidRPr="00EB1A06">
        <w:rPr>
          <w:rFonts w:ascii="Sylfaen" w:hAnsi="Sylfaen"/>
          <w:sz w:val="24"/>
          <w:szCs w:val="24"/>
          <w:lang w:val="hy-AM"/>
        </w:rPr>
        <w:lastRenderedPageBreak/>
        <w:t>փաթեթվածքի վրա նշվում է հետ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յալ տեղեկատվությունը՝ «Ստացիոնար բուժհիմնարկների համար», ընդ որում, «դեղատոմսով» («առանց դեղատոմսի») նշումը չի կատարվում։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37.</w:t>
      </w:r>
      <w:r w:rsidRPr="00EB1A06">
        <w:rPr>
          <w:rFonts w:ascii="Sylfaen" w:hAnsi="Sylfaen"/>
          <w:sz w:val="24"/>
          <w:szCs w:val="24"/>
          <w:lang w:val="hy-AM"/>
        </w:rPr>
        <w:tab/>
        <w:t>Երկրորդային փաթեթվածքի վրա պարտադիր զետեղվում են հետ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յալ նախազգուշացնող գրառումները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պայմանանշանները՝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ա)</w:t>
      </w:r>
      <w:r w:rsidRPr="00EB1A06">
        <w:rPr>
          <w:rFonts w:ascii="Sylfaen" w:hAnsi="Sylfaen"/>
          <w:sz w:val="24"/>
          <w:szCs w:val="24"/>
          <w:lang w:val="hy-AM"/>
        </w:rPr>
        <w:tab/>
        <w:t>«Պահել երեխաների համար անմատչելի տեղում»,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բ)</w:t>
      </w:r>
      <w:r w:rsidRPr="00EB1A06">
        <w:rPr>
          <w:rFonts w:ascii="Sylfaen" w:hAnsi="Sylfaen"/>
          <w:sz w:val="24"/>
          <w:szCs w:val="24"/>
          <w:lang w:val="hy-AM"/>
        </w:rPr>
        <w:tab/>
        <w:t>«Մանրէազերծ է» (մանրէազերծ դեղամիջոցների համար),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գ)</w:t>
      </w:r>
      <w:r w:rsidRPr="00EB1A06">
        <w:rPr>
          <w:rFonts w:ascii="Sylfaen" w:hAnsi="Sylfaen"/>
          <w:sz w:val="24"/>
          <w:szCs w:val="24"/>
          <w:lang w:val="hy-AM"/>
        </w:rPr>
        <w:tab/>
        <w:t>«ՄԻԱՎ-1</w:t>
      </w:r>
      <w:r w:rsidR="00320080" w:rsidRPr="00EB1A06">
        <w:rPr>
          <w:rFonts w:ascii="Sylfaen" w:hAnsi="Sylfaen"/>
          <w:sz w:val="24"/>
          <w:szCs w:val="24"/>
          <w:lang w:val="hy-AM"/>
        </w:rPr>
        <w:t>-</w:t>
      </w:r>
      <w:r w:rsidRPr="00EB1A06">
        <w:rPr>
          <w:rFonts w:ascii="Sylfaen" w:hAnsi="Sylfaen"/>
          <w:sz w:val="24"/>
          <w:szCs w:val="24"/>
          <w:lang w:val="hy-AM"/>
        </w:rPr>
        <w:t>ի, ՄԻԱՎ-2</w:t>
      </w:r>
      <w:r w:rsidR="00320080" w:rsidRPr="00EB1A06">
        <w:rPr>
          <w:rFonts w:ascii="Sylfaen" w:hAnsi="Sylfaen"/>
          <w:sz w:val="24"/>
          <w:szCs w:val="24"/>
          <w:lang w:val="hy-AM"/>
        </w:rPr>
        <w:t>-</w:t>
      </w:r>
      <w:r w:rsidRPr="00EB1A06">
        <w:rPr>
          <w:rFonts w:ascii="Sylfaen" w:hAnsi="Sylfaen"/>
          <w:sz w:val="24"/>
          <w:szCs w:val="24"/>
          <w:lang w:val="hy-AM"/>
        </w:rPr>
        <w:t xml:space="preserve">ի, հեպատիտ C վիրուսի նկատմամբ հակամարմիններ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հեպատիտ В վիրուսի մակերեսային հակագեն չեն հայտնաբերվել» (մարդու արյունից, արյան պլազմայից, օրգաններից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հյուսվածքներից ստացված դեղամիջոցների համար),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դ)</w:t>
      </w:r>
      <w:r w:rsidRPr="00EB1A06">
        <w:rPr>
          <w:rFonts w:ascii="Sylfaen" w:hAnsi="Sylfaen"/>
          <w:sz w:val="24"/>
          <w:szCs w:val="24"/>
          <w:lang w:val="hy-AM"/>
        </w:rPr>
        <w:tab/>
        <w:t>«Հոմեոպատիկ» (հոմեոպատիկ դեղապատրաստուկների (անասնաբուժական պատրաստուկների) համար),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ե)</w:t>
      </w:r>
      <w:r w:rsidRPr="00EB1A06">
        <w:rPr>
          <w:rFonts w:ascii="Sylfaen" w:hAnsi="Sylfaen"/>
          <w:sz w:val="24"/>
          <w:szCs w:val="24"/>
          <w:lang w:val="hy-AM"/>
        </w:rPr>
        <w:tab/>
        <w:t>ռադիացիոն վտանգի նշանը (ռադիոդեղագործական դեղամիջոցների (անասնաբուժական միջոցների) համար),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զ)</w:t>
      </w:r>
      <w:r w:rsidRPr="00EB1A06">
        <w:rPr>
          <w:rFonts w:ascii="Sylfaen" w:hAnsi="Sylfaen"/>
          <w:sz w:val="24"/>
          <w:szCs w:val="24"/>
          <w:lang w:val="hy-AM"/>
        </w:rPr>
        <w:tab/>
        <w:t>«Արտադրանքն անցել է ռադիացիոն հսկողությունը» (դեղապատրաստուկների (անասնաբուժական պատրաստուկների) համար, որոնք իրենցից ներկայացնում են կշռածրարված դեղաբուսական հումք),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է)</w:t>
      </w:r>
      <w:r w:rsidRPr="00EB1A06">
        <w:rPr>
          <w:rFonts w:ascii="Sylfaen" w:hAnsi="Sylfaen"/>
          <w:sz w:val="24"/>
          <w:szCs w:val="24"/>
          <w:lang w:val="hy-AM"/>
        </w:rPr>
        <w:tab/>
        <w:t>«Անասնաբուժական կիրառման համար» (անասնաբուժական միջոցների համար)։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Անհրաժեշտության դեպքում փաթեթվածքի վրա զետեղվում են նախազգուշացնող բնույթի այլ գրառումներ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պայմանանշաններ, եթե դրանք նախատեսված են պատրաստուկին առնչվող որակի մասին նորմատիվ փաստաթղթում։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38.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Գրանցման պարզեցված ընթացակարգով գրանցված (բժշկական կիրառման դեղապատրաստուկների գրանցման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փորձաքննության կանոններին </w:t>
      </w:r>
      <w:r w:rsidRPr="00EB1A06">
        <w:rPr>
          <w:rFonts w:ascii="Sylfaen" w:hAnsi="Sylfaen"/>
          <w:sz w:val="24"/>
          <w:szCs w:val="24"/>
          <w:lang w:val="hy-AM"/>
        </w:rPr>
        <w:lastRenderedPageBreak/>
        <w:t>համապատասխան) հոմեոպատիկ դեղապատրաստուկի մականշվածքում պետք է նշված լինեն բացառապես հետ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յալ (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ոչ մի այլ) տեղեկությունները՝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ա)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հոմեոպատիկ թուրմի (հոմեոպատիկ թուրմերի) գիտական անվանումը՝ նշելով դրա (դրանց) նոսրացման աստիճանը (օգտագործելով այն դեղագրքի պայմանանշանները, որը նշված է հոմեոպատիկ դեղապատրաստուկների գրանցման տվյալ ընթացակարգի համար՝ բժշկական կիրառման դեղապատրաստուկների գրանցման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փորձաքննության կանոններին համապատասխան)։ Եթե հոմեոպատիկ դեղապատրաստուկը բաղկացած է 2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ավելի հոմեոպատիկ թուրմերից, թույլատրվում է թուրմերի գիտական անվանումը համալրել առ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տրային անվանմամբ.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բ)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գրանցման հավաստագրի իրավատիրոջ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անհրաժեշտության դեպքում՝ արտադրողի անվանումները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հասցեն,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գ)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ներմուծման եղանակը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անհրաժեշտության դեպքում՝ ներմուծման ուղին,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դ)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պիտանիության ժամկետը լրանալու ամսաթիվը (ամիսը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տարին),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ե)</w:t>
      </w:r>
      <w:r w:rsidRPr="00EB1A06">
        <w:rPr>
          <w:rFonts w:ascii="Sylfaen" w:hAnsi="Sylfaen"/>
          <w:sz w:val="24"/>
          <w:szCs w:val="24"/>
          <w:lang w:val="hy-AM"/>
        </w:rPr>
        <w:tab/>
        <w:t>դեղաձ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ը,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զ)</w:t>
      </w:r>
      <w:r w:rsidRPr="00EB1A06">
        <w:rPr>
          <w:rFonts w:ascii="Sylfaen" w:hAnsi="Sylfaen"/>
          <w:sz w:val="24"/>
          <w:szCs w:val="24"/>
          <w:lang w:val="hy-AM"/>
        </w:rPr>
        <w:tab/>
        <w:t>բացթողման ձ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ի բովանդակությունը,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է)</w:t>
      </w:r>
      <w:r w:rsidRPr="00EB1A06">
        <w:rPr>
          <w:rFonts w:ascii="Sylfaen" w:hAnsi="Sylfaen"/>
          <w:sz w:val="24"/>
          <w:szCs w:val="24"/>
          <w:lang w:val="hy-AM"/>
        </w:rPr>
        <w:tab/>
        <w:t>պահպանման հատուկ պայմանները (առկայության դեպքում),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ը)</w:t>
      </w:r>
      <w:r w:rsidRPr="00EB1A06">
        <w:rPr>
          <w:rFonts w:ascii="Sylfaen" w:hAnsi="Sylfaen"/>
          <w:sz w:val="24"/>
          <w:szCs w:val="24"/>
          <w:lang w:val="hy-AM"/>
        </w:rPr>
        <w:tab/>
        <w:t>հատուկ նախազգուշացումը (անհրաժեշտության դեպքում),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թ)</w:t>
      </w:r>
      <w:r w:rsidRPr="00EB1A06">
        <w:rPr>
          <w:rFonts w:ascii="Sylfaen" w:hAnsi="Sylfaen"/>
          <w:sz w:val="24"/>
          <w:szCs w:val="24"/>
          <w:lang w:val="hy-AM"/>
        </w:rPr>
        <w:tab/>
        <w:t>արտադրողի սերիայի համարը,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993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ժ)</w:t>
      </w:r>
      <w:r w:rsidRPr="00EB1A06">
        <w:rPr>
          <w:rFonts w:ascii="Sylfaen" w:hAnsi="Sylfaen"/>
          <w:sz w:val="24"/>
          <w:szCs w:val="24"/>
          <w:lang w:val="hy-AM"/>
        </w:rPr>
        <w:tab/>
        <w:t>գրանցման համարը,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ժա)</w:t>
      </w:r>
      <w:r w:rsidRPr="00EB1A06">
        <w:rPr>
          <w:rFonts w:ascii="Sylfaen" w:hAnsi="Sylfaen"/>
          <w:sz w:val="24"/>
          <w:szCs w:val="24"/>
          <w:lang w:val="hy-AM"/>
        </w:rPr>
        <w:tab/>
        <w:t>գրառումը. «Հոմեոպատիկ դեղապատրաստուկ՝ առանց օգտագործման համար հաստատված ցուցման»,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ժբ)</w:t>
      </w:r>
      <w:r w:rsidRPr="00EB1A06">
        <w:rPr>
          <w:rFonts w:ascii="Sylfaen" w:hAnsi="Sylfaen"/>
          <w:sz w:val="24"/>
          <w:szCs w:val="24"/>
          <w:lang w:val="hy-AM"/>
        </w:rPr>
        <w:tab/>
        <w:t>հիվանդության ախտանիշները պահպանվելու դեպքում բժշկին դիմելու անհրաժեշտության մասին նախազգուշացում։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0"/>
        <w:jc w:val="both"/>
        <w:rPr>
          <w:rFonts w:ascii="Sylfaen" w:hAnsi="Sylfaen"/>
          <w:sz w:val="24"/>
          <w:szCs w:val="24"/>
          <w:lang w:val="hy-AM"/>
        </w:rPr>
      </w:pP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0"/>
        <w:jc w:val="center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IV. Մականշվածքի զետեղման եղանակներին ներկայացվող պահանջները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39.</w:t>
      </w:r>
      <w:r w:rsidRPr="00EB1A06">
        <w:rPr>
          <w:rFonts w:ascii="Sylfaen" w:hAnsi="Sylfaen"/>
          <w:sz w:val="24"/>
          <w:szCs w:val="24"/>
          <w:lang w:val="hy-AM"/>
        </w:rPr>
        <w:tab/>
        <w:t>Դեղամիջոցների (անասնաբուժական միջոցների) մականշվածքում գրառումների, նշանների, պայմանանշանների գույնը պետք է լինի հակադիր այն ֆոնին, որի վրա զետեղված է մականշվածքը։ Մականշվածքի զետեղման եղանակը պետք է ապահովի դրա պահպանվածությունը՝ դեղամիջոցի (անասնաբուժական միջոցի) պիտանիության ժամկետի ամբողջ ընթացքում՝ պահպանման համար սահմանված պայմանները պահպանելու դեպքում։ Թույլատրվում է զետեղել սերիայի համարը, արտադրման ամսաթիվը, պիտանիության ժամկետը՝ դրոշմատպման եղանակով (պայմանանշաններն ունեն ֆոնի գույնը)։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Բժշկական կիրառման ցուցումների կազմմանը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էջկապին ներկայացվող պահանջները, որոնք սահմանված են դեղապատրաստուկների բժշկական կիրառման ցուցումներին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բժշկական կիրառման դեղապատրաստուկների ընդհանուր բնութագրին ներկայացվող պահանջներով, կիրառելի են նա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դեղապատրաստուկների մականշվածքի համար։ Դեղապատրաստուկների (անասնաբուժական պատրաստուկների) մականշվածքում բոլոր պայմանանշանների չափը պետք է լինի առնվազն 7 պունկտ (կետաչափ) (կամ այն տառատեսակի կեգել, որի դեպքում փոքրատառ «х»</w:t>
      </w:r>
      <w:r w:rsidR="00320080" w:rsidRPr="00EB1A06">
        <w:rPr>
          <w:rFonts w:ascii="Sylfaen" w:hAnsi="Sylfaen"/>
          <w:sz w:val="24"/>
          <w:szCs w:val="24"/>
          <w:lang w:val="hy-AM"/>
        </w:rPr>
        <w:t>-</w:t>
      </w:r>
      <w:r w:rsidRPr="00EB1A06">
        <w:rPr>
          <w:rFonts w:ascii="Sylfaen" w:hAnsi="Sylfaen"/>
          <w:sz w:val="24"/>
          <w:szCs w:val="24"/>
          <w:lang w:val="hy-AM"/>
        </w:rPr>
        <w:t>ի բարձրությունը կազմում է առնվազն 1,4 մմ), իսկ տողերի միջ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միջակայքը՝ առնվազն 3 մմ։ Ոչ մեծ փաթեթվածքների վրայի տեքստը պետք է ունենա տառատեսակի հնարավորինս խոշոր կեգել՝ կիրառման սխալների հավանականությունը նվազեցնելու նպատակով։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40.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Հարկավոր է լավագույնս օգտագործել դեղապատրաստուկների (անասնաբուժական պատրաստուկների) առաջնային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երկրորդային փաթեթվածքների հասանելի մակեր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ույթը։ Դեղապատրաստուկը (անասնաբուժական պատրաստուկի) ճիշտ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անվտանգ կիրառելու համար կար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որ տեղեկությունները պետք է նշվեն տառատեսակի հնարավորինս խոշոր կեգելով՝ փաթեթվածքների առավել օպտիմալ մակեր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ույթների վրա։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lastRenderedPageBreak/>
        <w:t xml:space="preserve">Պատրաստուկի անվանումը, ակտիվ դեղագործական բաղադրամասերի դեղաչափը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, եթե կիրառելի է՝ ընդհանուր պարունակությունը, ինչպես նա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ներմուծման ուղին անհրաժեշտ է տեղակայել մի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նույն տեսադաշտում՝ գործածելով տառատեսակի հնարավորինս խոշոր կեգել։ Եթե կրիտիկական բոլոր տեղեկությունները ոչ մեծ փաթեթվածքի վրա հնարավոր չէ արտացոլել մի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նույն տեսադաշտում, ապա թույլատրվում է դրանց տեղակայումը տարբեր դաշտերում։ Ներկայացվող տեղեկություններն ընթերցելու հարմարությունը պահպանելու նպատակով անհրաժեշտ է կիրառել գործածվող տառատեսակի չափի համեմատությամբ ռացիոնալ միջակայք՝ տողերի միջ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,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բացատներ՝ բառերի միջ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41.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Առաջնային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երկրորդային փաթեթվածքների վրա տեղի առկայության դեպքում թույլատրվում է նշել դեղագործական ընկերության (արտադրող ֆիրմայի) տարբերանշանները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պատկերագրերը՝ պայմանով, որ դրանք չեն խաթարում պարտադիր տեղեկություններն ընթերցելու հարմարությունը։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42.</w:t>
      </w:r>
      <w:r w:rsidRPr="00EB1A06">
        <w:rPr>
          <w:rFonts w:ascii="Sylfaen" w:hAnsi="Sylfaen"/>
          <w:sz w:val="24"/>
          <w:szCs w:val="24"/>
          <w:lang w:val="hy-AM"/>
        </w:rPr>
        <w:tab/>
        <w:t>Սպառողների (ձեռք բերողների) կողմից դեղապատրաստուկի (անասնաբուժական պատրաստուկի) ճիշտ նույնականացումն ու ընտրությունն ապահովելու համար, ինչպես նա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փաթեթվածքի վրա սահմանափակ տեղի դեպքում փաթեթվածքի դիզայնը մշակելիս հնարավոր է նորարարական մեթոդների կիրառումը։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43.</w:t>
      </w:r>
      <w:r w:rsidRPr="00EB1A06">
        <w:rPr>
          <w:rFonts w:ascii="Sylfaen" w:hAnsi="Sylfaen"/>
          <w:sz w:val="24"/>
          <w:szCs w:val="24"/>
          <w:lang w:val="hy-AM"/>
        </w:rPr>
        <w:tab/>
        <w:t>Անհրաժեշտ է խուսափել ցոլքեր առաջացնող փայլուն, մետաղական գույնի կամ այլ փաթեթվածք կիրառելուց, ինչը կարող է դժվարացնել տեղեկատվությունը հարմար կերպով ընթերցելը։ Խորհուրդ չի տրվում դեղապատրաստուկի (անասնաբուժական պատրաստուկի) անվանման կամ անվանման առանձին տառերի (պայմանանշանների) մեջ տառատեսակի տարբեր գույների կիրառումը, քանի որ դա բացասաբար է անդրադառնում դեղապատրաստուկը ճիշտ կերպով ճանաչելու վրա։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Այլ դեղապատրաստուկների (անասնաբուժական պատրաստուկների) փաթեթվածքների հետ դեղապատրաստուկի (անասնաբուժական պատրաստուկի) </w:t>
      </w:r>
      <w:r w:rsidRPr="00EB1A06">
        <w:rPr>
          <w:rFonts w:ascii="Sylfaen" w:hAnsi="Sylfaen"/>
          <w:sz w:val="24"/>
          <w:szCs w:val="24"/>
          <w:lang w:val="hy-AM"/>
        </w:rPr>
        <w:lastRenderedPageBreak/>
        <w:t>փաթեթվածքի նմանության հետ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անքով դրա սխալ կիրառման վտանգից խուսափելու համար հարկավոր է կիրառել փաթեթվածքի առանձնահատուկ գունային նույնականացում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փաթեթվածքների տեսողական տարբերակումը դյուրացնող այլ եղանակներ։ Փաթեթվածքի դիզայնի մեջ կիրառվող գույների քանակությունը պետք է ռացիոնալ կերպով հիմնավորված լինի, որպեսզի հնարավորինս բացառվի սպառողների (ձեռք բերողների) կողմից դեղապատրաստուկը (անասնաբուժական պատրաստուկը) շփոթելու հավանականությունը։ Սպառողների (ձեռք բերողների) կողմից դեղապատրաստուկի (անասնաբուժական պատրաստուկի) ճիշտ նույնականացումը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կիրառումն ապահովելու համար առաջնային փաթեթվածքի մակնշման դեպքում հարկավոր է կիրառել գունային մի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նույն դիզայնը, որն օգտագործվում է երկրորդային փաթեթվածքի դեպքում։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44.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Մականշվածքը պետք է միասնական լինի անդամ պետությունների տարածքներում շրջանառության մեջ բաց թողնվող դեղապատրաստուկների (անասնաբուժական պատրաստուկների) համար։ Տարբերվող տեղեկությունների (բացթողման պայմանները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նմ.) առկայության դեպքում դրանք նշվում են լրացուցիչ պիտակի (սթիքերի) օգտագործմամբ՝ երկրորդային փաթեթվածքի՝ հատուկ առանձնացված դաշտում։ Եթե երկրորդային փաթեթվածքի վրա նախատեսված է դաշտ՝ անդամ պետության հատուկ տեղեկատվության համար, ապա թույլատրվում է այդ տեղեկատվությունը զետեղել դրա մեջ (օրինակ՝ դեղատների ցանցից բացթողման տարբեր պայմանները կամ հատուկ տեղեկատվությունը՝ «փաթեթվածք՝ ստացիոնար բուժհիմնարկների համար», «պետական ծրագրերով»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այլն)` առանց պիտակի (սթիքերի) օգտագործման։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Սթիքերների տեղակայման դաշտի չափսը չպետք է գերազանցի երկրորդային փաթեթվածքի ընդհանուր մակերեսի 1/6</w:t>
      </w:r>
      <w:r w:rsidR="00320080" w:rsidRPr="00EB1A06">
        <w:rPr>
          <w:rFonts w:ascii="Sylfaen" w:hAnsi="Sylfaen"/>
          <w:sz w:val="24"/>
          <w:szCs w:val="24"/>
          <w:lang w:val="hy-AM"/>
        </w:rPr>
        <w:t>-</w:t>
      </w:r>
      <w:r w:rsidRPr="00EB1A06">
        <w:rPr>
          <w:rFonts w:ascii="Sylfaen" w:hAnsi="Sylfaen"/>
          <w:sz w:val="24"/>
          <w:szCs w:val="24"/>
          <w:lang w:val="hy-AM"/>
        </w:rPr>
        <w:t>ը, ընդ որում, տվյալ դաշտը չպետք է փակի երկրորդային փաթեթվածքի վրա սկզբնապես զետեղված տեղեկությունները։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45.</w:t>
      </w:r>
      <w:r w:rsidRPr="00EB1A06">
        <w:rPr>
          <w:rFonts w:ascii="Sylfaen" w:hAnsi="Sylfaen"/>
          <w:sz w:val="24"/>
          <w:szCs w:val="24"/>
          <w:lang w:val="hy-AM"/>
        </w:rPr>
        <w:tab/>
        <w:t>Օրֆանային պատրաստուկների, ինչպես նա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առանձին </w:t>
      </w:r>
      <w:r w:rsidRPr="00EB1A06">
        <w:rPr>
          <w:rFonts w:ascii="Sylfaen" w:hAnsi="Sylfaen"/>
          <w:sz w:val="24"/>
          <w:szCs w:val="24"/>
          <w:lang w:val="hy-AM"/>
        </w:rPr>
        <w:lastRenderedPageBreak/>
        <w:t>դեղապատրաստուկների համար անդամ պետության՝ այդ դեղապատրաստուկի գրանցումն իրականացնող լիազոր մարմնի հետ համաձայնեցնելով՝ թույլատրվում է զետեղել մականշվածք՝ լրացուցիչ պիտակի (սթիքերի) օգտագործմամբ։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46.</w:t>
      </w:r>
      <w:r w:rsidRPr="00EB1A06">
        <w:rPr>
          <w:rFonts w:ascii="Sylfaen" w:hAnsi="Sylfaen"/>
          <w:sz w:val="24"/>
          <w:szCs w:val="24"/>
          <w:lang w:val="hy-AM"/>
        </w:rPr>
        <w:tab/>
        <w:t>Մեկ դեղաձ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ի տեսքով թողարկվող դեղապատրաստուկների տարբեր դեղաչափերի (կոնցենտրացիաների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նմ.) մակնշման դեպքում պետք է նախատեսվեն գունային տարբեր լուծումներ կամ դեղաչափի (կոնցենտրացիայի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նմ.) տեսողական հստակ առանձնացումն ապահովող այլ եղանակ։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Մի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նույն դեղապատրաստուկի տարբեր դեղաչափերը հարկավոր է նշել նույն կերպ (օրինակ՝ 250 մգ, 500 մգ, 750 մգ, 1000 մգ, այլ ոչ թե՝ 1 գ)։ Չի թույլատրվում դեղաչափի կոտորակային մասում նշել վերջին զրոները (հարկավոր է նշել 2,5 մգ, այլ ոչ թե՝ 2,50 մգ)։ Հարկավոր չէ գործածել տասնորդական բաժանիչ (ստորակետ), եթե կարելի է դրանից խուսափել (հարկավոր է նշել 250 մգ, այլ ոչ թե՝ 0,25 գ)։ Անվտանգության նկատառումներից ելնելով՝ «միկրոգրամ» բառն անհրաժեշտ է գրել ամբողջությամբ, այլ ոչ թե կրճատել այն։ Սակայն երբ առանձին դեպքերում առաջանում են այնպիսի դժվարություններ, որոնք հնարավոր չէ վերացնել տառատեսակի կեգելի փոքրացմամբ, ապա հիմնավորումների առկայության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անվտանգության մասով մտավախությունների բացակայության դեպքում թույլատրվում է գործածել կրճատված ձ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ը՝ «մկգ»։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pacing w:val="-4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47.</w:t>
      </w:r>
      <w:r w:rsidRPr="00EB1A06">
        <w:rPr>
          <w:rFonts w:ascii="Sylfaen" w:hAnsi="Sylfaen"/>
          <w:sz w:val="24"/>
          <w:szCs w:val="24"/>
          <w:lang w:val="hy-AM"/>
        </w:rPr>
        <w:tab/>
      </w:r>
      <w:r w:rsidRPr="00EB1A06">
        <w:rPr>
          <w:rFonts w:ascii="Sylfaen" w:hAnsi="Sylfaen"/>
          <w:spacing w:val="-4"/>
          <w:sz w:val="24"/>
          <w:szCs w:val="24"/>
          <w:lang w:val="hy-AM"/>
        </w:rPr>
        <w:t xml:space="preserve">Ներմուծման ուղին պետք է համընկնի տվյալ դեղապատրաստուկի ընդհանուր բնութագրում կամ տվյալ անասնաբուժական պատրաստուկի կիրառման ցուցումներում նշվածի հետ </w:t>
      </w:r>
      <w:r w:rsidR="009369B9">
        <w:rPr>
          <w:rFonts w:ascii="Sylfaen" w:hAnsi="Sylfaen"/>
          <w:spacing w:val="-4"/>
          <w:sz w:val="24"/>
          <w:szCs w:val="24"/>
          <w:lang w:val="hy-AM"/>
        </w:rPr>
        <w:t>և</w:t>
      </w:r>
      <w:r w:rsidRPr="00EB1A06">
        <w:rPr>
          <w:rFonts w:ascii="Sylfaen" w:hAnsi="Sylfaen"/>
          <w:spacing w:val="-4"/>
          <w:sz w:val="24"/>
          <w:szCs w:val="24"/>
          <w:lang w:val="hy-AM"/>
        </w:rPr>
        <w:t xml:space="preserve"> խստորեն համապատասխանի ստանդարտ տերմիններին։ Հարկավոր չէ գործածել բացասական արտահայտություններ (օրինակ՝ «Ներերակային ներմուծման համար չէ»)։ Թույլատրելի են միայն ստանդարտ հապավումները (օրինակ՝ ն/ե, ն/մ, ե/մ)։ Ներմուծման մյուս՝ ոչ ստանդարտ ուղիները հարկավոր է նշել ամբողջությամբ։ Եթե պացիենտներին ծանոթ չեն ներմուծման ուղիները, դեղապատրաստուկի բժշկական կիրառման ցուցումներում պետք է տրվեն պարզաբանումներ։ Դա հատկապես կար</w:t>
      </w:r>
      <w:r w:rsidR="009369B9">
        <w:rPr>
          <w:rFonts w:ascii="Sylfaen" w:hAnsi="Sylfaen"/>
          <w:spacing w:val="-4"/>
          <w:sz w:val="24"/>
          <w:szCs w:val="24"/>
          <w:lang w:val="hy-AM"/>
        </w:rPr>
        <w:t>և</w:t>
      </w:r>
      <w:r w:rsidRPr="00EB1A06">
        <w:rPr>
          <w:rFonts w:ascii="Sylfaen" w:hAnsi="Sylfaen"/>
          <w:spacing w:val="-4"/>
          <w:sz w:val="24"/>
          <w:szCs w:val="24"/>
          <w:lang w:val="hy-AM"/>
        </w:rPr>
        <w:t>որ է ինքնուրույն կիրառման համար մատչելի դեղապատրաստուկների առնչությամբ։</w:t>
      </w:r>
    </w:p>
    <w:p w:rsidR="00EA7BBD" w:rsidRPr="00EB1A06" w:rsidRDefault="00EA7BBD" w:rsidP="003406D4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lastRenderedPageBreak/>
        <w:t>48.</w:t>
      </w:r>
      <w:r w:rsidRPr="00EB1A06">
        <w:rPr>
          <w:rFonts w:ascii="Sylfaen" w:hAnsi="Sylfaen"/>
          <w:sz w:val="24"/>
          <w:szCs w:val="24"/>
          <w:lang w:val="hy-AM"/>
        </w:rPr>
        <w:tab/>
        <w:t xml:space="preserve">Եթե առաջնային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(կամ) երկրորդային փաթեթվածքների վրա օգտագործվում են մի քանի լեզուներով տեքստեր, անհրաժեշտ է ապահովել այդ տեքստերի հստակ տարանջատումը։</w:t>
      </w:r>
    </w:p>
    <w:p w:rsidR="00EA7BBD" w:rsidRPr="00EB1A06" w:rsidRDefault="00EA7BBD" w:rsidP="00DF2C17">
      <w:pPr>
        <w:pStyle w:val="Bodytext20"/>
        <w:shd w:val="clear" w:color="auto" w:fill="auto"/>
        <w:tabs>
          <w:tab w:val="left" w:pos="1134"/>
        </w:tabs>
        <w:spacing w:after="160" w:line="360" w:lineRule="auto"/>
        <w:ind w:left="20" w:firstLine="547"/>
        <w:jc w:val="both"/>
        <w:rPr>
          <w:rFonts w:ascii="Sylfaen" w:hAnsi="Sylfaen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>49.</w:t>
      </w:r>
      <w:r w:rsidRPr="00EB1A06">
        <w:rPr>
          <w:rFonts w:ascii="Sylfaen" w:hAnsi="Sylfaen"/>
          <w:sz w:val="24"/>
          <w:szCs w:val="24"/>
          <w:lang w:val="hy-AM"/>
        </w:rPr>
        <w:tab/>
        <w:t>Բջջային փաթեթվածքի վրա զետեղված բոլոր տվյալները սպառողի համար պետք է մնան մատչելի՝ ընդհուպ մինչ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վերջին դեղաչափը հանելը։ Եթե այդ փաթեթվածքի յուրաքանչյուր բջջի վրա հնարավոր չէ զետեղել բոլոր տեղեկությունները, թույլատրվում է դրանք պատահականորեն զետեղելու եղանակը, որի դեպքում դրանք բջջային փաթեթվածքի մակեր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ույթի վրա տեղակայվում են առավելագույն հաճախականությամբ։ Թույլատրվում է սերիայի համարը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պիտանիության ժամկետը լրանալու ամսաթիվը զետեղել բջջային փաթեթվածքի եզրին։ Տեխնիկական հնարավորության առկայության դեպքում հարկավոր է այդ տեղեկությունները զետեղել յուրաքանչյուր բջջային փաթեթվածքի երկու եզրերին։ Առաջնային փաթեթվածքների առնչությամբ պահանջվող բոլոր տեղեկություններն անհրաժեշտ է զետեղել այն թողարկման ձ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>ի դեղաչափի յուրաքանչյուր միավորի վրա, որը պարունակում է մեկ դեղաչափից բաղկացած բջջային փաթեթվածքներ։</w:t>
      </w:r>
      <w:r w:rsidRPr="00EB1A06">
        <w:rPr>
          <w:rFonts w:ascii="Sylfaen" w:hAnsi="Sylfaen"/>
          <w:lang w:val="hy-AM"/>
        </w:rPr>
        <w:br w:type="page"/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4536" w:firstLine="0"/>
        <w:jc w:val="center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lastRenderedPageBreak/>
        <w:t>ՀԱՎԵԼՎԱԾ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4536" w:firstLine="0"/>
        <w:jc w:val="center"/>
        <w:rPr>
          <w:rFonts w:ascii="Sylfaen" w:hAnsi="Sylfaen"/>
          <w:sz w:val="24"/>
          <w:szCs w:val="24"/>
          <w:lang w:val="hy-AM"/>
        </w:rPr>
      </w:pPr>
      <w:r w:rsidRPr="00EB1A06">
        <w:rPr>
          <w:rFonts w:ascii="Sylfaen" w:hAnsi="Sylfaen"/>
          <w:sz w:val="24"/>
          <w:szCs w:val="24"/>
          <w:lang w:val="hy-AM"/>
        </w:rPr>
        <w:t xml:space="preserve">Բժշկական կիրառման դեղամիջոցների </w:t>
      </w:r>
      <w:r w:rsidR="009369B9">
        <w:rPr>
          <w:rFonts w:ascii="Sylfaen" w:hAnsi="Sylfaen"/>
          <w:sz w:val="24"/>
          <w:szCs w:val="24"/>
          <w:lang w:val="hy-AM"/>
        </w:rPr>
        <w:t>և</w:t>
      </w:r>
      <w:r w:rsidRPr="00EB1A06">
        <w:rPr>
          <w:rFonts w:ascii="Sylfaen" w:hAnsi="Sylfaen"/>
          <w:sz w:val="24"/>
          <w:szCs w:val="24"/>
          <w:lang w:val="hy-AM"/>
        </w:rPr>
        <w:t xml:space="preserve"> անասնաբուժական դեղամիջոցների մակնշմանը ներկայացվող պահանջների</w:t>
      </w:r>
    </w:p>
    <w:p w:rsidR="00EA7BBD" w:rsidRPr="00EB1A06" w:rsidRDefault="00EA7BBD" w:rsidP="00EA7BBD">
      <w:pPr>
        <w:pStyle w:val="Bodytext20"/>
        <w:shd w:val="clear" w:color="auto" w:fill="auto"/>
        <w:spacing w:after="160" w:line="360" w:lineRule="auto"/>
        <w:ind w:left="4536" w:firstLine="0"/>
        <w:jc w:val="center"/>
        <w:rPr>
          <w:rFonts w:ascii="Sylfaen" w:hAnsi="Sylfaen"/>
          <w:sz w:val="24"/>
          <w:szCs w:val="24"/>
          <w:lang w:val="hy-AM"/>
        </w:rPr>
      </w:pPr>
    </w:p>
    <w:p w:rsidR="00EA7BBD" w:rsidRPr="00EB1A06" w:rsidRDefault="00EA7BBD" w:rsidP="00EA7BBD">
      <w:pPr>
        <w:pStyle w:val="Bodytext30"/>
        <w:shd w:val="clear" w:color="auto" w:fill="auto"/>
        <w:spacing w:after="160" w:line="360" w:lineRule="auto"/>
        <w:ind w:left="20" w:right="559"/>
        <w:rPr>
          <w:rFonts w:ascii="Sylfaen" w:hAnsi="Sylfaen"/>
          <w:sz w:val="24"/>
          <w:szCs w:val="24"/>
          <w:lang w:val="hy-AM"/>
        </w:rPr>
      </w:pPr>
      <w:r w:rsidRPr="00EB1A06">
        <w:rPr>
          <w:rStyle w:val="Bodytext3Spacing2pt"/>
          <w:rFonts w:ascii="Sylfaen" w:hAnsi="Sylfaen"/>
          <w:spacing w:val="0"/>
        </w:rPr>
        <w:t>ՑԱՆԿ</w:t>
      </w:r>
    </w:p>
    <w:p w:rsidR="00EA7BBD" w:rsidRPr="00EB1A06" w:rsidRDefault="00EA7BBD" w:rsidP="00EA7BBD">
      <w:pPr>
        <w:spacing w:after="160" w:line="360" w:lineRule="auto"/>
        <w:ind w:left="20" w:right="559"/>
        <w:jc w:val="center"/>
      </w:pPr>
      <w:r w:rsidRPr="00EB1A06">
        <w:rPr>
          <w:rStyle w:val="Bodytext40"/>
          <w:rFonts w:ascii="Sylfaen" w:eastAsia="Sylfaen" w:hAnsi="Sylfaen"/>
          <w:b w:val="0"/>
        </w:rPr>
        <w:t>ներքին ընդունման համար նախատեսված դեղապատրաստուկների (անասնաբուժական պատրաստուկների) երկրորդային փաթեթվածքի վրա նշվող օժանդակ նյութերի</w:t>
      </w:r>
    </w:p>
    <w:p w:rsidR="00EA7BBD" w:rsidRPr="00EB1A06" w:rsidRDefault="00EA7BBD" w:rsidP="00EA7BBD">
      <w:pPr>
        <w:spacing w:after="160" w:line="360" w:lineRule="auto"/>
        <w:ind w:left="20"/>
      </w:pPr>
    </w:p>
    <w:tbl>
      <w:tblPr>
        <w:tblOverlap w:val="never"/>
        <w:tblW w:w="9790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608"/>
        <w:gridCol w:w="1985"/>
        <w:gridCol w:w="2197"/>
      </w:tblGrid>
      <w:tr w:rsidR="00EA7BBD" w:rsidRPr="00EB1A06" w:rsidTr="00F10EB6">
        <w:trPr>
          <w:tblHeader/>
          <w:jc w:val="center"/>
        </w:trPr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Օժանդակ նյութի ծածկագիրը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Շեմային պարունակությունը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tcBorders>
              <w:top w:val="single" w:sz="4" w:space="0" w:color="auto"/>
            </w:tcBorders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Ազոներկանյութեր՝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tcBorders>
              <w:top w:val="single" w:sz="4" w:space="0" w:color="auto"/>
            </w:tcBorders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</w:pP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566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ար</w:t>
            </w:r>
            <w:r w:rsidR="009369B9">
              <w:rPr>
                <w:rStyle w:val="Bodytext212pt"/>
                <w:rFonts w:ascii="Sylfaen" w:hAnsi="Sylfaen"/>
              </w:rPr>
              <w:t>և</w:t>
            </w:r>
            <w:r w:rsidRPr="00EB1A06">
              <w:rPr>
                <w:rStyle w:val="Bodytext212pt"/>
                <w:rFonts w:ascii="Sylfaen" w:hAnsi="Sylfaen"/>
              </w:rPr>
              <w:t>ի մայրամուտ՝ դեղին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Е110</w:t>
            </w: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566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ազոռուբին (կարմուազին)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Е122</w:t>
            </w: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566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վառ կարմիր (պոնսո 4R, որդան կարմիր А)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Е124</w:t>
            </w: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567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ադամանդյա ս</w:t>
            </w:r>
            <w:r w:rsidR="009369B9">
              <w:rPr>
                <w:rStyle w:val="Bodytext212pt"/>
                <w:rFonts w:ascii="Sylfaen" w:hAnsi="Sylfaen"/>
              </w:rPr>
              <w:t>և</w:t>
            </w:r>
            <w:r w:rsidRPr="00EB1A06">
              <w:rPr>
                <w:rStyle w:val="Bodytext212pt"/>
                <w:rFonts w:ascii="Sylfaen" w:hAnsi="Sylfaen"/>
              </w:rPr>
              <w:t xml:space="preserve"> BN (փայլուն ս</w:t>
            </w:r>
            <w:r w:rsidR="009369B9">
              <w:rPr>
                <w:rStyle w:val="Bodytext212pt"/>
                <w:rFonts w:ascii="Sylfaen" w:hAnsi="Sylfaen"/>
              </w:rPr>
              <w:t>և</w:t>
            </w:r>
            <w:r w:rsidRPr="00EB1A06">
              <w:rPr>
                <w:rStyle w:val="Bodytext212pt"/>
                <w:rFonts w:ascii="Sylfaen" w:hAnsi="Sylfaen"/>
              </w:rPr>
              <w:t xml:space="preserve"> BN, ս</w:t>
            </w:r>
            <w:r w:rsidR="009369B9">
              <w:rPr>
                <w:rStyle w:val="Bodytext212pt"/>
                <w:rFonts w:ascii="Sylfaen" w:hAnsi="Sylfaen"/>
              </w:rPr>
              <w:t>և</w:t>
            </w:r>
            <w:r w:rsidRPr="00EB1A06">
              <w:rPr>
                <w:rStyle w:val="Bodytext212pt"/>
                <w:rFonts w:ascii="Sylfaen" w:hAnsi="Sylfaen"/>
              </w:rPr>
              <w:t xml:space="preserve"> РN)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Е151</w:t>
            </w: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Գետնընկույզի յուղ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Ասպարտամ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Е951</w:t>
            </w: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Գալակտոզա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Գլյուկոզա (դեքստրոզա)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Գլիցերոլ (գլիցերին)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10 գ/դեղաչափ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Իզոմալտ (իզոմալտիտ)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Е953</w:t>
            </w: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Կալիում պարունակող միացություններ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39 մգ/դեղաչափ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Գերչակի յուղեր՝ պոլիէթօքսիլացված (մակրոգոլ գլիցերիլ ռիցինոլեատ, մակրոգոլ գլիցերիլ հիդրօքսիստեարատ)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lastRenderedPageBreak/>
              <w:t>Կոնսերվանտներ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Քսիլիտոլ (քսիլիտ)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10 գ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 xml:space="preserve">Քնջութի ձեթ 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Լակտիտոլ (լակտիտ)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Е966</w:t>
            </w: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Լակտոզա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Լատեքս (կաուչուկ՝ բնական)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Մալտիտոլ (մալտիտ)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Е965</w:t>
            </w: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Ման</w:t>
            </w:r>
            <w:r w:rsidR="00DC32F7" w:rsidRPr="00EB1A06">
              <w:rPr>
                <w:rStyle w:val="Bodytext212pt"/>
                <w:rFonts w:ascii="Sylfaen" w:hAnsi="Sylfaen"/>
              </w:rPr>
              <w:t>ն</w:t>
            </w:r>
            <w:r w:rsidRPr="00EB1A06">
              <w:rPr>
                <w:rStyle w:val="Bodytext212pt"/>
                <w:rFonts w:ascii="Sylfaen" w:hAnsi="Sylfaen"/>
              </w:rPr>
              <w:t>իտոլ (մաննիտ)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Е421</w:t>
            </w: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10 գ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Միզանյութ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Նատրիում պարունակող միացություններ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23 մգ/դեղաչափ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 xml:space="preserve">Պրոպիլենգլիկոլ </w:t>
            </w:r>
            <w:r w:rsidR="009369B9">
              <w:rPr>
                <w:rStyle w:val="Bodytext212pt"/>
                <w:rFonts w:ascii="Sylfaen" w:hAnsi="Sylfaen"/>
              </w:rPr>
              <w:t>և</w:t>
            </w:r>
            <w:r w:rsidRPr="00EB1A06">
              <w:rPr>
                <w:rStyle w:val="Bodytext212pt"/>
                <w:rFonts w:ascii="Sylfaen" w:hAnsi="Sylfaen"/>
              </w:rPr>
              <w:t xml:space="preserve"> դրա եթերները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400 մգ/կգ՝ մեծահասակների համար 200 մգ/կգ՝ երեխաների համար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Ցորենի օսլա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Շաքար՝ փոխակերպված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Սախարոզա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Սոյայի ձեթ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Սորբիտոլ (սորբիտ)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Е420</w:t>
            </w: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Ֆենիլալանին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Ֆորմալդեհիդ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EB1A06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Ֆրուկտոզա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0</w:t>
            </w:r>
          </w:p>
        </w:tc>
      </w:tr>
      <w:tr w:rsidR="00EA7BBD" w:rsidRPr="004A145C" w:rsidTr="00F10EB6">
        <w:trPr>
          <w:jc w:val="center"/>
        </w:trPr>
        <w:tc>
          <w:tcPr>
            <w:tcW w:w="5608" w:type="dxa"/>
            <w:shd w:val="clear" w:color="auto" w:fill="FFFFFF"/>
          </w:tcPr>
          <w:p w:rsidR="00EA7BBD" w:rsidRPr="00EB1A06" w:rsidRDefault="00EA7BBD" w:rsidP="00F10EB6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Style w:val="Bodytext212pt"/>
                <w:rFonts w:ascii="Sylfaen" w:hAnsi="Sylfaen"/>
              </w:rPr>
              <w:t>Էթանոլ</w:t>
            </w:r>
            <w:r w:rsidR="00BB7CAC" w:rsidRPr="00EB1A06">
              <w:rPr>
                <w:rStyle w:val="FootnoteReference"/>
                <w:rFonts w:ascii="Sylfaen" w:hAnsi="Sylfaen"/>
                <w:color w:val="000000"/>
                <w:sz w:val="24"/>
                <w:szCs w:val="24"/>
                <w:shd w:val="clear" w:color="auto" w:fill="FFFFFF"/>
                <w:vertAlign w:val="baseline"/>
                <w:lang w:val="hy-AM" w:eastAsia="hy-AM" w:bidi="hy-AM"/>
              </w:rPr>
              <w:footnoteReference w:customMarkFollows="1" w:id="1"/>
              <w:t>*</w:t>
            </w:r>
            <w:r w:rsidRPr="00EB1A06">
              <w:rPr>
                <w:rStyle w:val="Bodytext212pt"/>
                <w:rFonts w:ascii="Sylfaen" w:hAnsi="Sylfaen"/>
              </w:rPr>
              <w:t xml:space="preserve"> (էթիլ սպիրտ)</w:t>
            </w:r>
          </w:p>
        </w:tc>
        <w:tc>
          <w:tcPr>
            <w:tcW w:w="1985" w:type="dxa"/>
            <w:shd w:val="clear" w:color="auto" w:fill="FFFFFF"/>
          </w:tcPr>
          <w:p w:rsidR="00EA7BBD" w:rsidRPr="00EB1A06" w:rsidRDefault="00EA7BBD" w:rsidP="00F10EB6">
            <w:pPr>
              <w:spacing w:after="120"/>
              <w:ind w:left="20"/>
              <w:jc w:val="center"/>
            </w:pPr>
          </w:p>
        </w:tc>
        <w:tc>
          <w:tcPr>
            <w:tcW w:w="2197" w:type="dxa"/>
            <w:shd w:val="clear" w:color="auto" w:fill="FFFFFF"/>
          </w:tcPr>
          <w:p w:rsidR="00EA7BBD" w:rsidRPr="004A145C" w:rsidRDefault="00EA7BBD" w:rsidP="00BB7CAC">
            <w:pPr>
              <w:pStyle w:val="Bodytext20"/>
              <w:shd w:val="clear" w:color="auto" w:fill="auto"/>
              <w:spacing w:after="120" w:line="240" w:lineRule="auto"/>
              <w:ind w:left="20" w:firstLine="0"/>
              <w:jc w:val="center"/>
              <w:rPr>
                <w:rFonts w:ascii="Sylfaen" w:hAnsi="Sylfaen"/>
                <w:sz w:val="24"/>
                <w:szCs w:val="24"/>
                <w:lang w:val="hy-AM"/>
              </w:rPr>
            </w:pPr>
            <w:r w:rsidRPr="00EB1A06">
              <w:rPr>
                <w:rFonts w:ascii="Sylfaen" w:hAnsi="Sylfaen"/>
                <w:sz w:val="24"/>
                <w:szCs w:val="24"/>
                <w:lang w:val="hy-AM"/>
              </w:rPr>
              <w:t>0</w:t>
            </w:r>
          </w:p>
        </w:tc>
      </w:tr>
    </w:tbl>
    <w:p w:rsidR="00D2441D" w:rsidRPr="004A145C" w:rsidRDefault="00D2441D"/>
    <w:sectPr w:rsidR="00D2441D" w:rsidRPr="004A145C" w:rsidSect="006036D1">
      <w:headerReference w:type="default" r:id="rId9"/>
      <w:pgSz w:w="11900" w:h="16840" w:code="9"/>
      <w:pgMar w:top="1418" w:right="1418" w:bottom="1418" w:left="1418" w:header="68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BD8" w:rsidRDefault="009F5BD8" w:rsidP="00EA7BBD">
      <w:r>
        <w:separator/>
      </w:r>
    </w:p>
  </w:endnote>
  <w:endnote w:type="continuationSeparator" w:id="0">
    <w:p w:rsidR="009F5BD8" w:rsidRDefault="009F5BD8" w:rsidP="00EA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BD8" w:rsidRDefault="009F5BD8" w:rsidP="00EA7BBD">
      <w:r>
        <w:separator/>
      </w:r>
    </w:p>
  </w:footnote>
  <w:footnote w:type="continuationSeparator" w:id="0">
    <w:p w:rsidR="009F5BD8" w:rsidRDefault="009F5BD8" w:rsidP="00EA7BBD">
      <w:r>
        <w:continuationSeparator/>
      </w:r>
    </w:p>
  </w:footnote>
  <w:footnote w:id="1">
    <w:p w:rsidR="00BB7CAC" w:rsidRPr="00EA7BBD" w:rsidRDefault="00BB7CAC" w:rsidP="00BB7CAC">
      <w:pPr>
        <w:pStyle w:val="FootnoteText"/>
      </w:pPr>
      <w:r w:rsidRPr="00BB7CAC">
        <w:rPr>
          <w:rStyle w:val="FootnoteReference"/>
          <w:vertAlign w:val="baseline"/>
        </w:rPr>
        <w:t>*</w:t>
      </w:r>
      <w:r w:rsidRPr="00EA7BBD">
        <w:t xml:space="preserve"> Տոկոսային պարունակությունը (ընդհանուր ծավալը)՝ հեղուկ դեղաձ</w:t>
      </w:r>
      <w:r w:rsidR="009369B9">
        <w:t>և</w:t>
      </w:r>
      <w:r w:rsidRPr="00EA7BBD">
        <w:t>երում։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6871"/>
      <w:docPartObj>
        <w:docPartGallery w:val="Page Numbers (Top of Page)"/>
        <w:docPartUnique/>
      </w:docPartObj>
    </w:sdtPr>
    <w:sdtEndPr/>
    <w:sdtContent>
      <w:p w:rsidR="006036D1" w:rsidRPr="006A4CF1" w:rsidRDefault="009F5BD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69B9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935F9"/>
    <w:multiLevelType w:val="multilevel"/>
    <w:tmpl w:val="39562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2E61B6"/>
    <w:multiLevelType w:val="hybridMultilevel"/>
    <w:tmpl w:val="4CEEAD9C"/>
    <w:lvl w:ilvl="0" w:tplc="6484915E">
      <w:start w:val="400"/>
      <w:numFmt w:val="bullet"/>
      <w:lvlText w:val=""/>
      <w:lvlJc w:val="left"/>
      <w:pPr>
        <w:ind w:left="502" w:hanging="360"/>
      </w:pPr>
      <w:rPr>
        <w:rFonts w:ascii="Symbol" w:eastAsia="Sylfae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73252F23"/>
    <w:multiLevelType w:val="multilevel"/>
    <w:tmpl w:val="FD6CDAA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BBD"/>
    <w:rsid w:val="00311D77"/>
    <w:rsid w:val="00320080"/>
    <w:rsid w:val="003406D4"/>
    <w:rsid w:val="003B545D"/>
    <w:rsid w:val="00405EB3"/>
    <w:rsid w:val="004A145C"/>
    <w:rsid w:val="006036D1"/>
    <w:rsid w:val="006A4CF1"/>
    <w:rsid w:val="006C0C66"/>
    <w:rsid w:val="007B3595"/>
    <w:rsid w:val="007B653E"/>
    <w:rsid w:val="007F77B7"/>
    <w:rsid w:val="00856EE7"/>
    <w:rsid w:val="009369B9"/>
    <w:rsid w:val="009F5BD8"/>
    <w:rsid w:val="00B470CE"/>
    <w:rsid w:val="00BB7CAC"/>
    <w:rsid w:val="00C94E77"/>
    <w:rsid w:val="00CA26B4"/>
    <w:rsid w:val="00CD3DCE"/>
    <w:rsid w:val="00D2441D"/>
    <w:rsid w:val="00DA7A66"/>
    <w:rsid w:val="00DC32F7"/>
    <w:rsid w:val="00DD6B91"/>
    <w:rsid w:val="00DF2C17"/>
    <w:rsid w:val="00EA6E45"/>
    <w:rsid w:val="00EA7BBD"/>
    <w:rsid w:val="00EB1A06"/>
    <w:rsid w:val="00FD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A7BBD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A7BB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A7BB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EA7BBD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Bodytext3Spacing4pt">
    <w:name w:val="Body text (3) + Spacing 4 pt"/>
    <w:basedOn w:val="Bodytext3"/>
    <w:rsid w:val="00EA7BBD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EA7B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Bold">
    <w:name w:val="Body text (2) + Bold"/>
    <w:aliases w:val="Spacing 2 pt"/>
    <w:basedOn w:val="Bodytext2"/>
    <w:rsid w:val="00EA7BB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Tablecaption2">
    <w:name w:val="Table caption (2)_"/>
    <w:basedOn w:val="DefaultParagraphFont"/>
    <w:link w:val="Tablecaption20"/>
    <w:rsid w:val="00EA7BB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2Spacing4pt">
    <w:name w:val="Table caption (2) + Spacing 4 pt"/>
    <w:basedOn w:val="Tablecaption2"/>
    <w:rsid w:val="00EA7BBD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Bodytext2ArialBlack">
    <w:name w:val="Body text (2) + Arial Black"/>
    <w:aliases w:val="9 pt"/>
    <w:basedOn w:val="Bodytext2"/>
    <w:rsid w:val="00EA7BBD"/>
    <w:rPr>
      <w:rFonts w:ascii="Arial Black" w:eastAsia="Arial Black" w:hAnsi="Arial Black" w:cs="Arial Black"/>
      <w:color w:val="000000"/>
      <w:spacing w:val="0"/>
      <w:w w:val="100"/>
      <w:position w:val="0"/>
      <w:sz w:val="18"/>
      <w:szCs w:val="18"/>
      <w:shd w:val="clear" w:color="auto" w:fill="FFFFFF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EA7BB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15pt">
    <w:name w:val="Body text (2) + 15 pt"/>
    <w:aliases w:val="Spacing -3 pt"/>
    <w:basedOn w:val="Bodytext2"/>
    <w:rsid w:val="00EA7BBD"/>
    <w:rPr>
      <w:rFonts w:ascii="Times New Roman" w:eastAsia="Times New Roman" w:hAnsi="Times New Roman" w:cs="Times New Roman"/>
      <w:color w:val="000000"/>
      <w:spacing w:val="-60"/>
      <w:w w:val="100"/>
      <w:position w:val="0"/>
      <w:sz w:val="30"/>
      <w:szCs w:val="30"/>
      <w:shd w:val="clear" w:color="auto" w:fill="FFFFFF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EA7BBD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character" w:customStyle="1" w:styleId="Bodytext4">
    <w:name w:val="Body text (4)_"/>
    <w:basedOn w:val="DefaultParagraphFont"/>
    <w:rsid w:val="00EA7B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0">
    <w:name w:val="Body text (4)"/>
    <w:basedOn w:val="Bodytext4"/>
    <w:rsid w:val="00EA7BB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EA7BBD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EA7B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A7BBD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Heading10">
    <w:name w:val="Heading #1"/>
    <w:basedOn w:val="Normal"/>
    <w:link w:val="Heading1"/>
    <w:rsid w:val="00EA7BB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4"/>
      <w:szCs w:val="34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EA7BBD"/>
    <w:pPr>
      <w:shd w:val="clear" w:color="auto" w:fill="FFFFFF"/>
      <w:spacing w:line="0" w:lineRule="atLeast"/>
      <w:ind w:hanging="86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Tablecaption20">
    <w:name w:val="Table caption (2)"/>
    <w:basedOn w:val="Normal"/>
    <w:link w:val="Tablecaption2"/>
    <w:rsid w:val="00EA7BB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EA7BB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Bodytext50">
    <w:name w:val="Body text (5)"/>
    <w:basedOn w:val="Normal"/>
    <w:link w:val="Bodytext5"/>
    <w:rsid w:val="00EA7BBD"/>
    <w:pPr>
      <w:shd w:val="clear" w:color="auto" w:fill="FFFFFF"/>
      <w:spacing w:before="660"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7B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BBD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character" w:styleId="FootnoteReference">
    <w:name w:val="footnote reference"/>
    <w:basedOn w:val="DefaultParagraphFont"/>
    <w:uiPriority w:val="99"/>
    <w:semiHidden/>
    <w:unhideWhenUsed/>
    <w:rsid w:val="00EA7BB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7B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BBD"/>
    <w:rPr>
      <w:rFonts w:ascii="Tahoma" w:eastAsia="Sylfaen" w:hAnsi="Tahoma" w:cs="Tahoma"/>
      <w:color w:val="000000"/>
      <w:sz w:val="16"/>
      <w:szCs w:val="16"/>
      <w:lang w:val="hy-AM" w:eastAsia="hy-AM" w:bidi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EA7B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BBD"/>
    <w:rPr>
      <w:rFonts w:ascii="Sylfaen" w:eastAsia="Sylfaen" w:hAnsi="Sylfaen" w:cs="Sylfaen"/>
      <w:color w:val="000000"/>
      <w:sz w:val="20"/>
      <w:szCs w:val="20"/>
      <w:lang w:val="hy-AM" w:eastAsia="hy-AM" w:bidi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B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BBD"/>
    <w:rPr>
      <w:rFonts w:ascii="Sylfaen" w:eastAsia="Sylfaen" w:hAnsi="Sylfaen" w:cs="Sylfaen"/>
      <w:b/>
      <w:bCs/>
      <w:color w:val="000000"/>
      <w:sz w:val="20"/>
      <w:szCs w:val="20"/>
      <w:lang w:val="hy-AM" w:eastAsia="hy-AM" w:bidi="hy-AM"/>
    </w:rPr>
  </w:style>
  <w:style w:type="table" w:styleId="TableGrid">
    <w:name w:val="Table Grid"/>
    <w:basedOn w:val="TableNormal"/>
    <w:uiPriority w:val="59"/>
    <w:rsid w:val="00EA7BBD"/>
    <w:pPr>
      <w:spacing w:after="0" w:line="240" w:lineRule="auto"/>
    </w:pPr>
    <w:rPr>
      <w:lang w:val="hy-AM" w:eastAsia="hy-AM" w:bidi="hy-AM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3pt">
    <w:name w:val="Body text (2) + 13 pt"/>
    <w:basedOn w:val="Bodytext2"/>
    <w:rsid w:val="00EA7BB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hy-AM" w:eastAsia="hy-AM" w:bidi="hy-AM"/>
    </w:rPr>
  </w:style>
  <w:style w:type="paragraph" w:styleId="Header">
    <w:name w:val="header"/>
    <w:basedOn w:val="Normal"/>
    <w:link w:val="HeaderChar"/>
    <w:uiPriority w:val="99"/>
    <w:unhideWhenUsed/>
    <w:rsid w:val="00DF2C17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C1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paragraph" w:styleId="Footer">
    <w:name w:val="footer"/>
    <w:basedOn w:val="Normal"/>
    <w:link w:val="FooterChar"/>
    <w:uiPriority w:val="99"/>
    <w:semiHidden/>
    <w:unhideWhenUsed/>
    <w:rsid w:val="00DF2C1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2C17"/>
    <w:rPr>
      <w:rFonts w:ascii="Sylfaen" w:eastAsia="Sylfaen" w:hAnsi="Sylfaen" w:cs="Sylfaen"/>
      <w:color w:val="000000"/>
      <w:sz w:val="24"/>
      <w:szCs w:val="24"/>
      <w:lang w:val="hy-AM" w:eastAsia="hy-AM" w:bidi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88DAEE-EA6C-48FF-84C2-1FA40D5FD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24</Pages>
  <Words>4692</Words>
  <Characters>26751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marinaasatryan</dc:creator>
  <cp:keywords/>
  <dc:description/>
  <cp:lastModifiedBy>Tatevik</cp:lastModifiedBy>
  <cp:revision>10</cp:revision>
  <dcterms:created xsi:type="dcterms:W3CDTF">2016-10-19T13:56:00Z</dcterms:created>
  <dcterms:modified xsi:type="dcterms:W3CDTF">2017-01-25T08:15:00Z</dcterms:modified>
</cp:coreProperties>
</file>