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0" w:rsidRDefault="004C4300" w:rsidP="004C430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876E0D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876E0D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10</w:t>
      </w:r>
    </w:p>
    <w:p w:rsidR="004C4300" w:rsidRDefault="004C4300" w:rsidP="004C430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9B7916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 2 Տիչինա-Աշտարակ</w:t>
      </w:r>
      <w:r w:rsidR="009B7916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4C4300" w:rsidRDefault="004C4300" w:rsidP="004C430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en-US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D61636" w:rsidRPr="00D61636" w:rsidRDefault="00D61636" w:rsidP="004C430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en-US"/>
        </w:rPr>
      </w:pPr>
      <w:bookmarkStart w:id="0" w:name="_GoBack"/>
      <w:bookmarkEnd w:id="0"/>
    </w:p>
    <w:p w:rsidR="00926677" w:rsidRPr="004C4300" w:rsidRDefault="00926677" w:rsidP="00926677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4C4300">
        <w:rPr>
          <w:rFonts w:ascii="Sylfaen" w:hAnsi="Sylfaen" w:cs="Arial"/>
          <w:b/>
          <w:sz w:val="20"/>
          <w:szCs w:val="20"/>
          <w:lang w:val="hy-AM"/>
        </w:rPr>
        <w:t>Հավելված</w:t>
      </w:r>
      <w:r w:rsidRPr="004C4300">
        <w:rPr>
          <w:rFonts w:ascii="Arial" w:hAnsi="Arial" w:cs="Arial"/>
          <w:b/>
          <w:sz w:val="20"/>
          <w:szCs w:val="20"/>
          <w:lang w:val="hy-AM"/>
        </w:rPr>
        <w:t xml:space="preserve"> 10. </w:t>
      </w:r>
      <w:r w:rsidRPr="004C4300">
        <w:rPr>
          <w:rFonts w:ascii="Sylfaen" w:hAnsi="Sylfaen" w:cs="Arial"/>
          <w:b/>
          <w:sz w:val="20"/>
          <w:szCs w:val="20"/>
          <w:lang w:val="hy-AM"/>
        </w:rPr>
        <w:t>ՀՕՏԾ-ում ներառված ազդեցության ենթակա գույքի ցանկը՝ անուղղակի ազդեցության ենթարկվող մասերով</w:t>
      </w:r>
    </w:p>
    <w:tbl>
      <w:tblPr>
        <w:tblW w:w="13904" w:type="dxa"/>
        <w:jc w:val="center"/>
        <w:tblInd w:w="93" w:type="dxa"/>
        <w:tblLook w:val="04A0" w:firstRow="1" w:lastRow="0" w:firstColumn="1" w:lastColumn="0" w:noHBand="0" w:noVBand="1"/>
      </w:tblPr>
      <w:tblGrid>
        <w:gridCol w:w="456"/>
        <w:gridCol w:w="945"/>
        <w:gridCol w:w="580"/>
        <w:gridCol w:w="1140"/>
        <w:gridCol w:w="1143"/>
        <w:gridCol w:w="1322"/>
        <w:gridCol w:w="1067"/>
        <w:gridCol w:w="1322"/>
        <w:gridCol w:w="5929"/>
      </w:tblGrid>
      <w:tr w:rsidR="00C13D46" w:rsidRPr="00CE567E" w:rsidTr="00C13D46">
        <w:trPr>
          <w:trHeight w:val="870"/>
          <w:tblHeader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No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Հատված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Ն/Հ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Ծածկագիր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Ընդհանուր մակերեսը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Ազդեցության եթակա մակերեսը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CE567E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Օտարվող մակերեսը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2D3405" w:rsidRDefault="00926677" w:rsidP="002D340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Ազդեցության ենթակա</w:t>
            </w:r>
            <w:r w:rsidR="00C13D46"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%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ընդհանուր</w:t>
            </w:r>
            <w:r w:rsidR="002D3405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ի</w:t>
            </w:r>
            <w:r w:rsidR="002D3405" w:rsidRPr="002D3405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2D3405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մեջ</w:t>
            </w:r>
          </w:p>
        </w:tc>
        <w:tc>
          <w:tcPr>
            <w:tcW w:w="6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13D46" w:rsidRPr="00926677" w:rsidRDefault="00CE567E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Նշում</w:t>
            </w:r>
            <w:r w:rsidR="00926677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ներ</w:t>
            </w:r>
          </w:p>
        </w:tc>
      </w:tr>
      <w:tr w:rsidR="00C13D46" w:rsidRPr="00876E0D" w:rsidTr="00C13D46">
        <w:trPr>
          <w:trHeight w:val="112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0302-0076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598.76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496.70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598.76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82.95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EB2" w:rsidRDefault="002D3405" w:rsidP="00811EB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 w:rsid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ը </w:t>
            </w:r>
            <w:r w:rsidR="00811EB2"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50%-</w:t>
            </w:r>
            <w:r w:rsid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="009B791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ավել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(64.08%-85.23%)</w:t>
            </w:r>
            <w:r w:rsid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,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օտարվի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ամբողջությամբ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քանի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պիտանի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չէ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հետագա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գործառնական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նշանակությամբ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ելու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համար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՝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բացառությամբ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դեպքերի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եթե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ցանկանում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իր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սեփականության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մնացած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="00EB733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  <w:r w:rsidR="00EB733D"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</w:p>
          <w:p w:rsidR="00C13D46" w:rsidRPr="00EB733D" w:rsidRDefault="00EB733D" w:rsidP="00811EB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նման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դիմում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չի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ներկայացրել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</w:p>
        </w:tc>
      </w:tr>
      <w:tr w:rsidR="00C13D46" w:rsidRPr="00876E0D" w:rsidTr="00C13D46">
        <w:trPr>
          <w:trHeight w:val="14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0450-0103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640.77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64.08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EB2" w:rsidRDefault="00811EB2" w:rsidP="00EB733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ը 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="009B791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ավել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(64.08%-85.23%)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,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օտարվի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ամբողջությամբ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քանի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պիտանի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չէ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հետագա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գործառնական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նշանակությամբ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օգտագործելու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համար՝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բացառությամբ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դեպքերի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եթե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ցանկանում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իր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սեփականության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մնացած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2D3405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</w:p>
          <w:p w:rsidR="00C13D46" w:rsidRPr="00EB733D" w:rsidRDefault="00EB733D" w:rsidP="00EB733D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դիմում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ներկայացրել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օտարելու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ևս</w:t>
            </w:r>
            <w:r w:rsidRPr="00EB733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հետևաբար ընդհանուր մակերեսը ներառվել է ՀՕՏԾ-ում որպես օտարվող մակերես:</w:t>
            </w:r>
          </w:p>
        </w:tc>
      </w:tr>
      <w:tr w:rsidR="00C13D46" w:rsidRPr="00811EB2" w:rsidTr="00C13D46">
        <w:trPr>
          <w:trHeight w:val="102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0450-0102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691.00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1,000.00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EB2" w:rsidRPr="00F4289A" w:rsidRDefault="00811EB2" w:rsidP="00811EB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="009B791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ավել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(64.08%-85.23%),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օտարվի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ամբողջությամբ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քանի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պիտանի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չէ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հետագա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գործառնական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նշանակությամբ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օգտագործելու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համար՝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բացառությամբ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դեպքերի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եթե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ցանկանում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իր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սեփականության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մնացած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: </w:t>
            </w:r>
          </w:p>
          <w:p w:rsidR="00C13D46" w:rsidRPr="00F4289A" w:rsidRDefault="00EB733D" w:rsidP="00811EB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F4289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նման</w:t>
            </w:r>
            <w:r w:rsidRPr="00F4289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դիմում</w:t>
            </w:r>
            <w:r w:rsidRPr="00F4289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չի</w:t>
            </w:r>
            <w:r w:rsidRPr="00F4289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ներկայացրել</w:t>
            </w:r>
            <w:r w:rsidRPr="00F4289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:</w:t>
            </w:r>
          </w:p>
        </w:tc>
      </w:tr>
      <w:tr w:rsidR="00C13D46" w:rsidRPr="00876E0D" w:rsidTr="00C13D46">
        <w:trPr>
          <w:trHeight w:val="12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0450-0106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437.80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43.78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EB2" w:rsidRDefault="00811EB2" w:rsidP="00811EB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ը </w:t>
            </w:r>
            <w:r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50%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-ից պակաս է </w:t>
            </w:r>
            <w:r w:rsidR="00C13D46"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(42.87%-48.68%)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, պետք է օտարվի</w:t>
            </w:r>
            <w:r w:rsid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մասամբ</w:t>
            </w:r>
            <w:r w:rsidR="00C13D46"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(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միայն ազդեցության ենթակա մասը</w:t>
            </w:r>
            <w:r w:rsidR="00C13D46"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)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 Սակայն</w:t>
            </w:r>
            <w:r w:rsidR="00C13D46" w:rsidRPr="00811EB2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քանի որ չօտարվող մասը զրկվում է մուտքից և չի կարող հետագայում օգտագործվել, գույքը </w:t>
            </w:r>
            <w:r w:rsid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համարվում է որպես ամբողջությամբ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օտարվ</w:t>
            </w:r>
            <w:r w:rsid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ող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</w:p>
          <w:p w:rsidR="00C13D46" w:rsidRPr="0014199F" w:rsidRDefault="0014199F" w:rsidP="0014199F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Սեփականատերը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հաստատել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ցանկանում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գույքն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ամբողջությամբ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</w:p>
        </w:tc>
      </w:tr>
      <w:tr w:rsidR="00C13D46" w:rsidRPr="00CE567E" w:rsidTr="00C13D46">
        <w:trPr>
          <w:trHeight w:val="145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0582-0014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681.86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800.00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85.23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99F" w:rsidRPr="0014199F" w:rsidRDefault="0014199F" w:rsidP="0014199F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="009B791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ավել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(64.08%-85.23%),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օտարվի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ամբողջությամբ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քանի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պիտանի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հետագա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գործառնական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նշանակությամբ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օգտագործելու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համար՝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բացառությամբ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դեպքերի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եթե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ցանկանում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իր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սեփականության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մնացած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: </w:t>
            </w:r>
          </w:p>
          <w:p w:rsidR="00C13D46" w:rsidRPr="0014199F" w:rsidRDefault="0014199F" w:rsidP="0014199F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Սեփականատերը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հեռախոսով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հաստատել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նա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գտնվում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ՀՀ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դուրս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)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ցանկանում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գույքն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ամբողջությամբ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:</w:t>
            </w:r>
          </w:p>
        </w:tc>
      </w:tr>
      <w:tr w:rsidR="00C13D46" w:rsidRPr="00876E0D" w:rsidTr="00C13D46">
        <w:trPr>
          <w:trHeight w:val="12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0582-0011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828.65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1,000.00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82.87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BE6" w:rsidRDefault="00827BE6" w:rsidP="00827BE6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="009B791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ավել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(64.08%-85.23%),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պետք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օտարվի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ամբողջությամբ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քանի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չօտարվող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պիտանի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չէ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հետագա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գործառնական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նշանակությամբ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օգտագործելու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համար՝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բացառությամբ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դեպքերի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եթե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սեփականատերը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ցանկանում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օգտագործել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իր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սեփականության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մնացած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: </w:t>
            </w:r>
          </w:p>
          <w:p w:rsidR="00C13D46" w:rsidRPr="00827BE6" w:rsidRDefault="00827BE6" w:rsidP="00C13D46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Սեփականատերը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հաստատել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ցանկանում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գույքն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օտարել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ամբողջությամբ</w:t>
            </w:r>
            <w:r w:rsidRPr="0014199F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</w:p>
        </w:tc>
      </w:tr>
      <w:tr w:rsidR="00C13D46" w:rsidRPr="00CE567E" w:rsidTr="00C13D46">
        <w:trPr>
          <w:trHeight w:val="111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0582-0008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428.65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428.65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42.87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D46" w:rsidRPr="00F26C6D" w:rsidRDefault="00827BE6" w:rsidP="00C13D46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պակաս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(42.87%-48.68%),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պետք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օտարվի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մասամբ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միայն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ազդեցության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ենթակա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),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բացառությամբ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այն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դեպքերի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եթե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չօտարվող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կորցնում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մուտքի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հնարավորությունը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Քանի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գույքը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չի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կորցնում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մուտքի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հնարավորությունը</w:t>
            </w:r>
            <w:r w:rsidRPr="00827BE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,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ուստի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այն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համարվում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որպես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մասնակի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="00F26C6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օտարվող</w:t>
            </w:r>
            <w:r w:rsidR="00F26C6D" w:rsidRPr="00F26C6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:</w:t>
            </w:r>
          </w:p>
        </w:tc>
      </w:tr>
      <w:tr w:rsidR="00C13D46" w:rsidRPr="00876E0D" w:rsidTr="00C13D46">
        <w:trPr>
          <w:trHeight w:val="97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F4289A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9D65DC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01-001-</w:t>
            </w:r>
            <w:r w:rsidR="00C13D46"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0586-0001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18,432.00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8,964.46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8,964.46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D46" w:rsidRPr="00CE567E" w:rsidRDefault="00C13D46" w:rsidP="00C13D4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CE567E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48.64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D46" w:rsidRPr="001D5246" w:rsidRDefault="001D5246" w:rsidP="00C13D46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Համաձայն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ԵՔ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/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ԾԻԳ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-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հետ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քննարկված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մոտեցման՝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այն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հողակտորը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որի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ազդեցության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ենթակա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մաս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50%-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ից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պակաս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(42.87%-48.68%),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պետք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օտարվի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մասամբ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(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միայն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ազդեցության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ենթակա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),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բացառությամբ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այն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դեպքերի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եթե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չօտարվող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կորցնում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lastRenderedPageBreak/>
              <w:t>մուտքի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հնարավորությունը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: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Քանի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գույքը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չի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կորցնում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մուտքի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հնարավորությունը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ուստի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այն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համարվում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է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որպես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մասնակի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օտարվող</w:t>
            </w:r>
            <w:r w:rsidRPr="001D5246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:</w:t>
            </w:r>
          </w:p>
        </w:tc>
      </w:tr>
    </w:tbl>
    <w:p w:rsidR="008C3540" w:rsidRPr="001D5246" w:rsidRDefault="008C3540">
      <w:pPr>
        <w:rPr>
          <w:lang w:val="ru-RU"/>
        </w:rPr>
      </w:pPr>
    </w:p>
    <w:sectPr w:rsidR="008C3540" w:rsidRPr="001D5246" w:rsidSect="00876E0D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B8" w:rsidRDefault="00DE07B8" w:rsidP="00350DFE">
      <w:pPr>
        <w:spacing w:after="0" w:line="240" w:lineRule="auto"/>
      </w:pPr>
      <w:r>
        <w:separator/>
      </w:r>
    </w:p>
  </w:endnote>
  <w:endnote w:type="continuationSeparator" w:id="0">
    <w:p w:rsidR="00DE07B8" w:rsidRDefault="00DE07B8" w:rsidP="0035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B8" w:rsidRDefault="00DE07B8" w:rsidP="00350DFE">
      <w:pPr>
        <w:spacing w:after="0" w:line="240" w:lineRule="auto"/>
      </w:pPr>
      <w:r>
        <w:separator/>
      </w:r>
    </w:p>
  </w:footnote>
  <w:footnote w:type="continuationSeparator" w:id="0">
    <w:p w:rsidR="00DE07B8" w:rsidRDefault="00DE07B8" w:rsidP="00350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61"/>
    <w:rsid w:val="000220FE"/>
    <w:rsid w:val="000620DB"/>
    <w:rsid w:val="00064CC2"/>
    <w:rsid w:val="000E6307"/>
    <w:rsid w:val="0014199F"/>
    <w:rsid w:val="00154A79"/>
    <w:rsid w:val="001C0112"/>
    <w:rsid w:val="001C1F15"/>
    <w:rsid w:val="001D5246"/>
    <w:rsid w:val="001F2524"/>
    <w:rsid w:val="00226B72"/>
    <w:rsid w:val="002A4F01"/>
    <w:rsid w:val="002B1039"/>
    <w:rsid w:val="002D3405"/>
    <w:rsid w:val="002E15DD"/>
    <w:rsid w:val="002F5C4E"/>
    <w:rsid w:val="00350DFE"/>
    <w:rsid w:val="00393817"/>
    <w:rsid w:val="003A193D"/>
    <w:rsid w:val="003A50F1"/>
    <w:rsid w:val="003C5819"/>
    <w:rsid w:val="004A1D5B"/>
    <w:rsid w:val="004C1777"/>
    <w:rsid w:val="004C4300"/>
    <w:rsid w:val="004E2352"/>
    <w:rsid w:val="004F22FE"/>
    <w:rsid w:val="005F212D"/>
    <w:rsid w:val="00633249"/>
    <w:rsid w:val="006B3ED5"/>
    <w:rsid w:val="006C5561"/>
    <w:rsid w:val="00701C13"/>
    <w:rsid w:val="007709D0"/>
    <w:rsid w:val="00811EB2"/>
    <w:rsid w:val="00827BE6"/>
    <w:rsid w:val="0085375E"/>
    <w:rsid w:val="008736DB"/>
    <w:rsid w:val="00876E0D"/>
    <w:rsid w:val="008B0516"/>
    <w:rsid w:val="008C3540"/>
    <w:rsid w:val="008C699A"/>
    <w:rsid w:val="00920174"/>
    <w:rsid w:val="00926677"/>
    <w:rsid w:val="00984B34"/>
    <w:rsid w:val="009B7916"/>
    <w:rsid w:val="009D3686"/>
    <w:rsid w:val="00A86EEA"/>
    <w:rsid w:val="00AD7261"/>
    <w:rsid w:val="00AE4C02"/>
    <w:rsid w:val="00B85478"/>
    <w:rsid w:val="00BB736B"/>
    <w:rsid w:val="00BF127A"/>
    <w:rsid w:val="00BF4F88"/>
    <w:rsid w:val="00C13D46"/>
    <w:rsid w:val="00C31A76"/>
    <w:rsid w:val="00CA7D99"/>
    <w:rsid w:val="00CE567E"/>
    <w:rsid w:val="00D41B35"/>
    <w:rsid w:val="00D61636"/>
    <w:rsid w:val="00DD2396"/>
    <w:rsid w:val="00DE07B8"/>
    <w:rsid w:val="00DF2525"/>
    <w:rsid w:val="00E44E52"/>
    <w:rsid w:val="00E539D9"/>
    <w:rsid w:val="00EB733D"/>
    <w:rsid w:val="00F17F20"/>
    <w:rsid w:val="00F26C6D"/>
    <w:rsid w:val="00F4289A"/>
    <w:rsid w:val="00F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0D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6"/>
  </w:style>
  <w:style w:type="paragraph" w:styleId="Footer">
    <w:name w:val="footer"/>
    <w:basedOn w:val="Normal"/>
    <w:link w:val="Foot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6"/>
  </w:style>
  <w:style w:type="paragraph" w:styleId="BalloonText">
    <w:name w:val="Balloon Text"/>
    <w:basedOn w:val="Normal"/>
    <w:link w:val="BalloonTextChar"/>
    <w:uiPriority w:val="99"/>
    <w:semiHidden/>
    <w:unhideWhenUsed/>
    <w:rsid w:val="0077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F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4300"/>
    <w:pPr>
      <w:spacing w:after="301" w:line="301" w:lineRule="atLeast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0D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6"/>
  </w:style>
  <w:style w:type="paragraph" w:styleId="Footer">
    <w:name w:val="footer"/>
    <w:basedOn w:val="Normal"/>
    <w:link w:val="Foot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6"/>
  </w:style>
  <w:style w:type="paragraph" w:styleId="BalloonText">
    <w:name w:val="Balloon Text"/>
    <w:basedOn w:val="Normal"/>
    <w:link w:val="BalloonTextChar"/>
    <w:uiPriority w:val="99"/>
    <w:semiHidden/>
    <w:unhideWhenUsed/>
    <w:rsid w:val="0077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F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4300"/>
    <w:pPr>
      <w:spacing w:after="301" w:line="301" w:lineRule="atLeast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860A-DDB4-42FE-AFF7-E4663B61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</cp:lastModifiedBy>
  <cp:revision>6</cp:revision>
  <cp:lastPrinted>2016-11-07T07:19:00Z</cp:lastPrinted>
  <dcterms:created xsi:type="dcterms:W3CDTF">2016-11-04T06:56:00Z</dcterms:created>
  <dcterms:modified xsi:type="dcterms:W3CDTF">2016-12-05T07:15:00Z</dcterms:modified>
</cp:coreProperties>
</file>