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5C" w:rsidRPr="00FF1A8D" w:rsidRDefault="00BB7191" w:rsidP="00FF1A8D">
      <w:pPr>
        <w:pStyle w:val="Bodytext20"/>
        <w:shd w:val="clear" w:color="auto" w:fill="auto"/>
        <w:tabs>
          <w:tab w:val="left" w:pos="5040"/>
        </w:tabs>
        <w:spacing w:before="0" w:after="120" w:line="240" w:lineRule="auto"/>
        <w:ind w:left="5040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F1A8D">
        <w:rPr>
          <w:rFonts w:ascii="Sylfaen" w:hAnsi="Sylfaen"/>
          <w:sz w:val="24"/>
          <w:szCs w:val="24"/>
        </w:rPr>
        <w:t>ПРИЛОЖЕНИЕ</w:t>
      </w:r>
    </w:p>
    <w:p w:rsidR="007E545C" w:rsidRPr="00FF1A8D" w:rsidRDefault="00BB7191" w:rsidP="00FF1A8D">
      <w:pPr>
        <w:pStyle w:val="Bodytext20"/>
        <w:shd w:val="clear" w:color="auto" w:fill="auto"/>
        <w:tabs>
          <w:tab w:val="left" w:pos="5040"/>
        </w:tabs>
        <w:spacing w:before="0" w:after="120" w:line="240" w:lineRule="auto"/>
        <w:ind w:left="5040" w:right="60"/>
        <w:jc w:val="center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к Решению Коллегии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Евразийской экономической комиссии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от 9 февраля 2016 г. № 18</w:t>
      </w:r>
    </w:p>
    <w:p w:rsidR="00FF1A8D" w:rsidRPr="00FF1A8D" w:rsidRDefault="00FF1A8D" w:rsidP="00FF1A8D">
      <w:pPr>
        <w:pStyle w:val="Bodytext50"/>
        <w:shd w:val="clear" w:color="auto" w:fill="auto"/>
        <w:spacing w:line="240" w:lineRule="auto"/>
        <w:ind w:left="1440" w:right="953"/>
        <w:rPr>
          <w:rStyle w:val="Bodytext5Spacing3pt"/>
          <w:rFonts w:ascii="Sylfaen" w:hAnsi="Sylfaen"/>
          <w:b/>
          <w:bCs/>
          <w:spacing w:val="0"/>
          <w:sz w:val="24"/>
          <w:szCs w:val="24"/>
        </w:rPr>
      </w:pPr>
    </w:p>
    <w:p w:rsidR="007E545C" w:rsidRPr="00FF1A8D" w:rsidRDefault="00BB7191" w:rsidP="00FF1A8D">
      <w:pPr>
        <w:pStyle w:val="Bodytext50"/>
        <w:shd w:val="clear" w:color="auto" w:fill="auto"/>
        <w:spacing w:line="240" w:lineRule="auto"/>
        <w:ind w:left="1440" w:right="953"/>
        <w:rPr>
          <w:rFonts w:ascii="Sylfaen" w:hAnsi="Sylfaen"/>
          <w:sz w:val="24"/>
          <w:szCs w:val="24"/>
        </w:rPr>
      </w:pPr>
      <w:r w:rsidRPr="00FF1A8D">
        <w:rPr>
          <w:rStyle w:val="Bodytext5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E545C" w:rsidRDefault="00BB7191" w:rsidP="00FF1A8D">
      <w:pPr>
        <w:pStyle w:val="Bodytext50"/>
        <w:shd w:val="clear" w:color="auto" w:fill="auto"/>
        <w:spacing w:line="240" w:lineRule="auto"/>
        <w:ind w:left="1440" w:right="953"/>
        <w:rPr>
          <w:rFonts w:ascii="Sylfaen" w:hAnsi="Sylfaen"/>
          <w:sz w:val="24"/>
          <w:szCs w:val="24"/>
          <w:lang w:val="en-US"/>
        </w:rPr>
      </w:pPr>
      <w:r w:rsidRPr="00FF1A8D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комиссии от 31 января 2013 г. № 11</w:t>
      </w:r>
    </w:p>
    <w:p w:rsidR="0015538A" w:rsidRPr="0015538A" w:rsidRDefault="0015538A" w:rsidP="00FF1A8D">
      <w:pPr>
        <w:pStyle w:val="Bodytext50"/>
        <w:shd w:val="clear" w:color="auto" w:fill="auto"/>
        <w:spacing w:line="240" w:lineRule="auto"/>
        <w:ind w:left="1440" w:right="953"/>
        <w:rPr>
          <w:rFonts w:ascii="Sylfaen" w:hAnsi="Sylfaen"/>
          <w:sz w:val="24"/>
          <w:szCs w:val="24"/>
          <w:lang w:val="en-US"/>
        </w:rPr>
      </w:pPr>
    </w:p>
    <w:p w:rsidR="007E545C" w:rsidRPr="00FF1A8D" w:rsidRDefault="00FF1A8D" w:rsidP="00FF1A8D">
      <w:pPr>
        <w:pStyle w:val="Bodytext20"/>
        <w:shd w:val="clear" w:color="auto" w:fill="auto"/>
        <w:tabs>
          <w:tab w:val="left" w:pos="1044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1.</w:t>
      </w:r>
      <w:r w:rsidR="00BB7191" w:rsidRPr="00FF1A8D">
        <w:rPr>
          <w:rFonts w:ascii="Sylfaen" w:hAnsi="Sylfaen"/>
          <w:sz w:val="24"/>
          <w:szCs w:val="24"/>
        </w:rPr>
        <w:t xml:space="preserve"> В наименовании слова «об оценке (подтверждении) соответствия» заменить словами «об оценке соответствия».</w:t>
      </w:r>
    </w:p>
    <w:p w:rsidR="007E545C" w:rsidRPr="00FF1A8D" w:rsidRDefault="00FF1A8D" w:rsidP="00FF1A8D">
      <w:pPr>
        <w:pStyle w:val="Bodytext20"/>
        <w:shd w:val="clear" w:color="auto" w:fill="auto"/>
        <w:tabs>
          <w:tab w:val="left" w:pos="1076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 xml:space="preserve">2. </w:t>
      </w:r>
      <w:r w:rsidR="00BB7191" w:rsidRPr="00FF1A8D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пунктом 3 Положения о Евразийской экономической комиссии (приложение № 1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98,».</w:t>
      </w:r>
    </w:p>
    <w:p w:rsidR="007E545C" w:rsidRPr="00FF1A8D" w:rsidRDefault="00FF1A8D" w:rsidP="00FF1A8D">
      <w:pPr>
        <w:pStyle w:val="Bodytext20"/>
        <w:shd w:val="clear" w:color="auto" w:fill="auto"/>
        <w:tabs>
          <w:tab w:val="left" w:pos="1055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3.</w:t>
      </w:r>
      <w:r w:rsidR="00BB7191" w:rsidRPr="00FF1A8D">
        <w:rPr>
          <w:rFonts w:ascii="Sylfaen" w:hAnsi="Sylfaen"/>
          <w:sz w:val="24"/>
          <w:szCs w:val="24"/>
        </w:rPr>
        <w:t xml:space="preserve"> В пункте 1 слова «об оценке (подтверждении) соответствия» заменить словами «об оценке соответствия».</w:t>
      </w:r>
    </w:p>
    <w:p w:rsidR="007E545C" w:rsidRPr="00FF1A8D" w:rsidRDefault="00FF1A8D" w:rsidP="00FF1A8D">
      <w:pPr>
        <w:pStyle w:val="Bodytext20"/>
        <w:shd w:val="clear" w:color="auto" w:fill="auto"/>
        <w:tabs>
          <w:tab w:val="left" w:pos="1055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 xml:space="preserve">4. </w:t>
      </w:r>
      <w:r w:rsidR="00BB7191" w:rsidRPr="00FF1A8D">
        <w:rPr>
          <w:rFonts w:ascii="Sylfaen" w:hAnsi="Sylfaen"/>
          <w:sz w:val="24"/>
          <w:szCs w:val="24"/>
        </w:rPr>
        <w:t>В перечне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игрушек» (ТР ТС 008/2011), утвержденном указанным Решением:</w:t>
      </w:r>
    </w:p>
    <w:p w:rsidR="007E545C" w:rsidRPr="00FF1A8D" w:rsidRDefault="00BB7191" w:rsidP="00FF1A8D">
      <w:pPr>
        <w:pStyle w:val="Bodytext20"/>
        <w:shd w:val="clear" w:color="auto" w:fill="auto"/>
        <w:tabs>
          <w:tab w:val="left" w:pos="1055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а)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в наименовании слова «об оценке (подтверждении) соответствия» заменить словами «об оценке соответствия»;</w:t>
      </w:r>
    </w:p>
    <w:p w:rsidR="007E545C" w:rsidRPr="00FF1A8D" w:rsidRDefault="00BB7191" w:rsidP="00FF1A8D">
      <w:pPr>
        <w:pStyle w:val="Bodytext20"/>
        <w:shd w:val="clear" w:color="auto" w:fill="auto"/>
        <w:tabs>
          <w:tab w:val="left" w:pos="1289"/>
        </w:tabs>
        <w:spacing w:before="0" w:after="120" w:line="240" w:lineRule="auto"/>
        <w:ind w:firstLine="720"/>
        <w:jc w:val="left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б)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в наименовании графы 2 слова «ТН ВЭД ТС» заменить словами «ТН ВЭД ЕАЭС»;</w:t>
      </w:r>
    </w:p>
    <w:p w:rsidR="007E545C" w:rsidRPr="00FF1A8D" w:rsidRDefault="00BB7191" w:rsidP="00FF1A8D">
      <w:pPr>
        <w:pStyle w:val="Bodytext20"/>
        <w:shd w:val="clear" w:color="auto" w:fill="auto"/>
        <w:tabs>
          <w:tab w:val="left" w:pos="1290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в)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позицию 2 изложить в следующей редакции:</w:t>
      </w:r>
    </w:p>
    <w:p w:rsidR="00FF1A8D" w:rsidRPr="00FF1A8D" w:rsidRDefault="00FF1A8D" w:rsidP="00FF1A8D">
      <w:pPr>
        <w:pStyle w:val="Bodytext20"/>
        <w:shd w:val="clear" w:color="auto" w:fill="auto"/>
        <w:tabs>
          <w:tab w:val="left" w:pos="1290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2987"/>
        <w:gridCol w:w="3226"/>
      </w:tblGrid>
      <w:tr w:rsidR="007E545C" w:rsidRPr="00FF1A8D" w:rsidTr="00FF1A8D">
        <w:trPr>
          <w:jc w:val="center"/>
        </w:trPr>
        <w:tc>
          <w:tcPr>
            <w:tcW w:w="2686" w:type="dxa"/>
            <w:shd w:val="clear" w:color="auto" w:fill="FFFFFF"/>
            <w:vAlign w:val="bottom"/>
          </w:tcPr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«2. Игрушки, несущие массу ребенка, в том числе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трехколесные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велосипеды,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самокаты,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педальные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lastRenderedPageBreak/>
              <w:t>автомобили,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ходунки и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аналогичные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игрушки на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колесах;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коляски для</w:t>
            </w:r>
            <w:r w:rsidR="00FF1A8D" w:rsidRPr="00FF1A8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F1A8D">
              <w:rPr>
                <w:rFonts w:ascii="Sylfaen" w:hAnsi="Sylfaen"/>
                <w:sz w:val="24"/>
                <w:szCs w:val="24"/>
              </w:rPr>
              <w:t>кукол</w:t>
            </w:r>
          </w:p>
        </w:tc>
        <w:tc>
          <w:tcPr>
            <w:tcW w:w="2987" w:type="dxa"/>
            <w:shd w:val="clear" w:color="auto" w:fill="FFFFFF"/>
          </w:tcPr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lastRenderedPageBreak/>
              <w:t>9403 70 000 2 9403 70 000 3 9503 00 100</w:t>
            </w:r>
          </w:p>
        </w:tc>
        <w:tc>
          <w:tcPr>
            <w:tcW w:w="3226" w:type="dxa"/>
            <w:shd w:val="clear" w:color="auto" w:fill="FFFFFF"/>
          </w:tcPr>
          <w:p w:rsid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200" w:firstLine="10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>сертификат -»;</w:t>
            </w:r>
          </w:p>
          <w:p w:rsidR="007E545C" w:rsidRPr="00FF1A8D" w:rsidRDefault="00BB7191" w:rsidP="00FF1A8D">
            <w:pPr>
              <w:pStyle w:val="Bodytext20"/>
              <w:shd w:val="clear" w:color="auto" w:fill="auto"/>
              <w:spacing w:before="0" w:after="120" w:line="240" w:lineRule="auto"/>
              <w:ind w:left="200" w:firstLine="100"/>
              <w:jc w:val="left"/>
              <w:rPr>
                <w:rFonts w:ascii="Sylfaen" w:hAnsi="Sylfaen"/>
                <w:sz w:val="24"/>
                <w:szCs w:val="24"/>
              </w:rPr>
            </w:pPr>
            <w:r w:rsidRPr="00FF1A8D">
              <w:rPr>
                <w:rFonts w:ascii="Sylfaen" w:hAnsi="Sylfaen"/>
                <w:sz w:val="24"/>
                <w:szCs w:val="24"/>
              </w:rPr>
              <w:t xml:space="preserve"> соответствия</w:t>
            </w:r>
          </w:p>
        </w:tc>
      </w:tr>
    </w:tbl>
    <w:p w:rsidR="00FF1A8D" w:rsidRDefault="00FF1A8D" w:rsidP="00FF1A8D">
      <w:pPr>
        <w:pStyle w:val="Bodytext20"/>
        <w:shd w:val="clear" w:color="auto" w:fill="auto"/>
        <w:tabs>
          <w:tab w:val="left" w:pos="1258"/>
        </w:tabs>
        <w:spacing w:before="0" w:after="120" w:line="240" w:lineRule="auto"/>
        <w:ind w:firstLine="720"/>
        <w:rPr>
          <w:rFonts w:ascii="Sylfaen" w:hAnsi="Sylfaen"/>
          <w:sz w:val="24"/>
          <w:szCs w:val="24"/>
          <w:lang w:val="en-US"/>
        </w:rPr>
      </w:pPr>
    </w:p>
    <w:p w:rsidR="007E545C" w:rsidRPr="00FF1A8D" w:rsidRDefault="00BB7191" w:rsidP="00FF1A8D">
      <w:pPr>
        <w:pStyle w:val="Bodytext20"/>
        <w:shd w:val="clear" w:color="auto" w:fill="auto"/>
        <w:tabs>
          <w:tab w:val="left" w:pos="1258"/>
        </w:tabs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F1A8D">
        <w:rPr>
          <w:rFonts w:ascii="Sylfaen" w:hAnsi="Sylfaen"/>
          <w:sz w:val="24"/>
          <w:szCs w:val="24"/>
        </w:rPr>
        <w:t>г)</w:t>
      </w:r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>в примечании 1 слова «ТН ВЭД</w:t>
      </w:r>
      <w:r w:rsidRPr="00FF1A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F1A8D">
        <w:rPr>
          <w:rFonts w:ascii="Sylfaen" w:hAnsi="Sylfaen"/>
          <w:sz w:val="24"/>
          <w:szCs w:val="24"/>
        </w:rPr>
        <w:t>ТС» заменить словами</w:t>
      </w:r>
      <w:bookmarkStart w:id="1" w:name="bookmark1"/>
      <w:r w:rsidR="00FF1A8D" w:rsidRPr="00FF1A8D">
        <w:rPr>
          <w:rFonts w:ascii="Sylfaen" w:hAnsi="Sylfaen"/>
          <w:sz w:val="24"/>
          <w:szCs w:val="24"/>
        </w:rPr>
        <w:t xml:space="preserve"> </w:t>
      </w:r>
      <w:r w:rsidRPr="00FF1A8D">
        <w:rPr>
          <w:rFonts w:ascii="Sylfaen" w:hAnsi="Sylfaen"/>
          <w:sz w:val="24"/>
          <w:szCs w:val="24"/>
        </w:rPr>
        <w:t xml:space="preserve">«тн вэд </w:t>
      </w:r>
      <w:r w:rsidRPr="00FF1A8D">
        <w:rPr>
          <w:rStyle w:val="Heading12SmallCaps"/>
          <w:rFonts w:ascii="Sylfaen" w:hAnsi="Sylfaen"/>
          <w:sz w:val="24"/>
          <w:szCs w:val="24"/>
        </w:rPr>
        <w:t>еаэс».</w:t>
      </w:r>
      <w:bookmarkEnd w:id="1"/>
    </w:p>
    <w:sectPr w:rsidR="007E545C" w:rsidRPr="00FF1A8D" w:rsidSect="00FF1A8D">
      <w:pgSz w:w="11909" w:h="16834" w:code="9"/>
      <w:pgMar w:top="1418" w:right="1418" w:bottom="1418" w:left="141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0F9" w:rsidRDefault="004270F9" w:rsidP="007E545C">
      <w:r>
        <w:separator/>
      </w:r>
    </w:p>
  </w:endnote>
  <w:endnote w:type="continuationSeparator" w:id="0">
    <w:p w:rsidR="004270F9" w:rsidRDefault="004270F9" w:rsidP="007E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0F9" w:rsidRDefault="004270F9"/>
  </w:footnote>
  <w:footnote w:type="continuationSeparator" w:id="0">
    <w:p w:rsidR="004270F9" w:rsidRDefault="004270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3A54"/>
    <w:multiLevelType w:val="multilevel"/>
    <w:tmpl w:val="F17CC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97A61"/>
    <w:multiLevelType w:val="multilevel"/>
    <w:tmpl w:val="7C681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545C"/>
    <w:rsid w:val="0015538A"/>
    <w:rsid w:val="004270F9"/>
    <w:rsid w:val="005A0E24"/>
    <w:rsid w:val="007E545C"/>
    <w:rsid w:val="00BB7191"/>
    <w:rsid w:val="00C86317"/>
    <w:rsid w:val="00F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54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E545C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3pt">
    <w:name w:val="Table caption + Spacing 3 pt"/>
    <w:basedOn w:val="Tablecaption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E54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3 pt"/>
    <w:basedOn w:val="Bodytext2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E54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aliases w:val="Spacing 2 pt"/>
    <w:basedOn w:val="Bodytext2"/>
    <w:rsid w:val="007E54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0"/>
      <w:szCs w:val="30"/>
      <w:u w:val="none"/>
    </w:rPr>
  </w:style>
  <w:style w:type="character" w:customStyle="1" w:styleId="Bodytext235pt">
    <w:name w:val="Body text (2) + 35 pt"/>
    <w:aliases w:val="Spacing -1 pt"/>
    <w:basedOn w:val="Bodytext2"/>
    <w:rsid w:val="007E54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Bodytext5Spacing3pt">
    <w:name w:val="Body text (5) + Spacing 3 pt"/>
    <w:basedOn w:val="Bodytext5"/>
    <w:rsid w:val="007E54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7E545C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SmallCaps">
    <w:name w:val="Heading #1 (2) + Small Caps"/>
    <w:basedOn w:val="Heading12"/>
    <w:rsid w:val="007E545C"/>
    <w:rPr>
      <w:rFonts w:ascii="Franklin Gothic Demi" w:eastAsia="Franklin Gothic Demi" w:hAnsi="Franklin Gothic Demi" w:cs="Franklin Gothic Dem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7E54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7E545C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7E54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E545C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7E545C"/>
    <w:pPr>
      <w:shd w:val="clear" w:color="auto" w:fill="FFFFFF"/>
      <w:spacing w:before="180" w:line="0" w:lineRule="atLeast"/>
      <w:jc w:val="both"/>
      <w:outlineLvl w:val="0"/>
    </w:pPr>
    <w:rPr>
      <w:rFonts w:ascii="Franklin Gothic Demi" w:eastAsia="Franklin Gothic Demi" w:hAnsi="Franklin Gothic Demi" w:cs="Franklin Gothic Demi"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857D1-7A30-426F-9C9B-DDE65C67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249</Words>
  <Characters>1424</Characters>
  <Application>Microsoft Office Word</Application>
  <DocSecurity>0</DocSecurity>
  <Lines>11</Lines>
  <Paragraphs>3</Paragraphs>
  <ScaleCrop>false</ScaleCrop>
  <Company>TC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Vahagn Karamyan</cp:lastModifiedBy>
  <cp:revision>4</cp:revision>
  <dcterms:created xsi:type="dcterms:W3CDTF">2016-03-09T11:53:00Z</dcterms:created>
  <dcterms:modified xsi:type="dcterms:W3CDTF">2016-11-23T11:53:00Z</dcterms:modified>
</cp:coreProperties>
</file>