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41" w:rsidRDefault="002F2130" w:rsidP="009F1D41">
      <w:pPr>
        <w:pStyle w:val="Bodytext20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bookmark3"/>
      <w:bookmarkStart w:id="1" w:name="_GoBack"/>
      <w:bookmarkEnd w:id="1"/>
      <w:r w:rsidRPr="00CC442B">
        <w:rPr>
          <w:rFonts w:ascii="Sylfaen" w:hAnsi="Sylfaen"/>
          <w:sz w:val="24"/>
          <w:szCs w:val="24"/>
        </w:rPr>
        <w:t>УТВЕРЖДЕН</w:t>
      </w:r>
      <w:r>
        <w:rPr>
          <w:rFonts w:ascii="Sylfaen" w:hAnsi="Sylfaen"/>
          <w:sz w:val="24"/>
          <w:szCs w:val="24"/>
        </w:rPr>
        <w:t xml:space="preserve"> </w:t>
      </w:r>
    </w:p>
    <w:p w:rsidR="002F2130" w:rsidRPr="00CC442B" w:rsidRDefault="002F2130" w:rsidP="009F1D41">
      <w:pPr>
        <w:pStyle w:val="Bodytext20"/>
        <w:ind w:left="3969" w:firstLine="0"/>
        <w:jc w:val="center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Решением Совета</w:t>
      </w:r>
    </w:p>
    <w:p w:rsidR="002F2130" w:rsidRPr="00CC442B" w:rsidRDefault="002F2130" w:rsidP="009F1D41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Евразийской экономической комиссии</w:t>
      </w:r>
      <w:r>
        <w:rPr>
          <w:rFonts w:ascii="Sylfaen" w:hAnsi="Sylfaen"/>
          <w:sz w:val="24"/>
          <w:szCs w:val="24"/>
        </w:rPr>
        <w:t xml:space="preserve"> </w:t>
      </w:r>
      <w:r w:rsidR="009F1D41" w:rsidRPr="009F1D41">
        <w:rPr>
          <w:rFonts w:ascii="Sylfaen" w:hAnsi="Sylfaen"/>
          <w:sz w:val="24"/>
          <w:szCs w:val="24"/>
        </w:rPr>
        <w:br/>
      </w:r>
      <w:r w:rsidRPr="00CC442B">
        <w:rPr>
          <w:rFonts w:ascii="Sylfaen" w:hAnsi="Sylfaen"/>
          <w:sz w:val="24"/>
          <w:szCs w:val="24"/>
        </w:rPr>
        <w:t>от 12 февраля 2016 г. № 1</w:t>
      </w:r>
    </w:p>
    <w:p w:rsidR="009F1D41" w:rsidRPr="00C218D9" w:rsidRDefault="009F1D41" w:rsidP="00665F8A">
      <w:pPr>
        <w:pStyle w:val="Heading30"/>
        <w:keepNext/>
        <w:keepLines/>
        <w:shd w:val="clear" w:color="auto" w:fill="auto"/>
        <w:spacing w:before="0" w:after="120" w:line="240" w:lineRule="auto"/>
        <w:jc w:val="both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</w:p>
    <w:p w:rsidR="00BB170E" w:rsidRPr="00CC442B" w:rsidRDefault="00463521" w:rsidP="009F1D41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C442B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0"/>
    </w:p>
    <w:p w:rsidR="00BB170E" w:rsidRPr="00C218D9" w:rsidRDefault="00463521" w:rsidP="009F1D4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департаментов Евразийской экономической комиссии</w:t>
      </w:r>
    </w:p>
    <w:p w:rsidR="009F1D41" w:rsidRPr="00C218D9" w:rsidRDefault="009F1D41" w:rsidP="009F1D4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протокола и организационного обеспечения.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2.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финансов.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3.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Правовой департамент.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4.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управления делами.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5.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развития интеграции.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6.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макроэкономической политики.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7.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статистики.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8.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финансовой политики.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9.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развития предпринимательской деятельности.</w:t>
      </w:r>
    </w:p>
    <w:p w:rsidR="00BB170E" w:rsidRPr="00CC442B" w:rsidRDefault="00463521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10 Департамент трудовой миграции.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11.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промышленной политики.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12.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агропромышленной политики.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13.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торговой политики.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14.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таможенно-тарифного и нетарифного регулирования.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15.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защиты внутреннего рынка.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16.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технического регулирования и аккредитации.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17.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санитарных, фитосанитарных и ветеринарных мер.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18.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таможенного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законодательства</w:t>
      </w:r>
      <w:r w:rsidR="009F1D41" w:rsidRPr="009F1D41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и правоприменительной практики.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19.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таможенной инфраструктуры.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20.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транспорта и инфраструктуры.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21.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энергетики.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22.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антимонопольного регулирования.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23.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конкурентной политики и политики в области государственных закупок.</w:t>
      </w:r>
    </w:p>
    <w:p w:rsidR="00BB170E" w:rsidRPr="00CC442B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lastRenderedPageBreak/>
        <w:t>24.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информационных технологий.</w:t>
      </w:r>
    </w:p>
    <w:p w:rsidR="004C7F80" w:rsidRPr="004C7F80" w:rsidRDefault="00AE347E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25.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3521" w:rsidRPr="00CC442B">
        <w:rPr>
          <w:rFonts w:ascii="Sylfaen" w:hAnsi="Sylfaen"/>
          <w:sz w:val="24"/>
          <w:szCs w:val="24"/>
        </w:rPr>
        <w:t>Департамент функционирования внутр</w:t>
      </w:r>
      <w:r w:rsidR="00463521" w:rsidRPr="00CC442B">
        <w:rPr>
          <w:rStyle w:val="Bodytext22"/>
          <w:rFonts w:ascii="Sylfaen" w:hAnsi="Sylfaen"/>
          <w:sz w:val="24"/>
          <w:szCs w:val="24"/>
        </w:rPr>
        <w:t>енн</w:t>
      </w:r>
      <w:r w:rsidR="00463521" w:rsidRPr="00CC442B">
        <w:rPr>
          <w:rFonts w:ascii="Sylfaen" w:hAnsi="Sylfaen"/>
          <w:sz w:val="24"/>
          <w:szCs w:val="24"/>
        </w:rPr>
        <w:t>их рынков</w:t>
      </w:r>
    </w:p>
    <w:p w:rsidR="004C7F80" w:rsidRPr="004C7F80" w:rsidRDefault="004C7F80">
      <w:pPr>
        <w:rPr>
          <w:rFonts w:eastAsia="Times New Roman" w:cs="Times New Roman"/>
        </w:rPr>
      </w:pPr>
      <w:r w:rsidRPr="004C7F80">
        <w:br w:type="page"/>
      </w:r>
    </w:p>
    <w:p w:rsidR="004C7F80" w:rsidRPr="00C218D9" w:rsidRDefault="00463521" w:rsidP="004C7F80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lastRenderedPageBreak/>
        <w:t>УТВЕРЖДЕНА</w:t>
      </w:r>
    </w:p>
    <w:p w:rsidR="00BB170E" w:rsidRPr="004C7F80" w:rsidRDefault="00463521" w:rsidP="004C7F80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Решением Совета</w:t>
      </w:r>
      <w:r w:rsidR="004C7F80" w:rsidRPr="004C7F80">
        <w:rPr>
          <w:rFonts w:ascii="Sylfaen" w:hAnsi="Sylfaen"/>
          <w:sz w:val="24"/>
          <w:szCs w:val="24"/>
        </w:rPr>
        <w:t xml:space="preserve"> </w:t>
      </w:r>
      <w:r w:rsidRPr="00CC442B">
        <w:rPr>
          <w:rFonts w:ascii="Sylfaen" w:hAnsi="Sylfaen"/>
          <w:sz w:val="24"/>
          <w:szCs w:val="24"/>
        </w:rPr>
        <w:t>Евразийской экономической комиссии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C7F80" w:rsidRPr="004C7F80">
        <w:rPr>
          <w:rFonts w:ascii="Sylfaen" w:hAnsi="Sylfaen"/>
          <w:sz w:val="24"/>
          <w:szCs w:val="24"/>
        </w:rPr>
        <w:br/>
      </w:r>
      <w:r w:rsidRPr="00CC442B">
        <w:rPr>
          <w:rFonts w:ascii="Sylfaen" w:hAnsi="Sylfaen"/>
          <w:sz w:val="24"/>
          <w:szCs w:val="24"/>
        </w:rPr>
        <w:t>от 12 февраля 2016 г. № 1</w:t>
      </w:r>
    </w:p>
    <w:p w:rsidR="004C7F80" w:rsidRPr="004C7F80" w:rsidRDefault="004C7F80" w:rsidP="00665F8A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BB170E" w:rsidRDefault="00463521" w:rsidP="004C7F80">
      <w:pPr>
        <w:pStyle w:val="Heading30"/>
        <w:keepNext/>
        <w:keepLines/>
        <w:shd w:val="clear" w:color="auto" w:fill="auto"/>
        <w:spacing w:before="0" w:after="120" w:line="240" w:lineRule="auto"/>
        <w:ind w:left="2835" w:right="2827"/>
        <w:rPr>
          <w:rFonts w:ascii="Sylfaen" w:hAnsi="Sylfaen"/>
          <w:sz w:val="24"/>
          <w:szCs w:val="24"/>
          <w:lang w:val="en-US"/>
        </w:rPr>
      </w:pPr>
      <w:bookmarkStart w:id="2" w:name="bookmark4"/>
      <w:r w:rsidRPr="00CC442B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ШТАТНАЯ ЧИСЛЕННОСТЬ</w:t>
      </w:r>
      <w:r w:rsidR="00CC442B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 xml:space="preserve"> </w:t>
      </w:r>
      <w:r w:rsidRPr="00CC442B">
        <w:rPr>
          <w:rFonts w:ascii="Sylfaen" w:hAnsi="Sylfaen"/>
          <w:sz w:val="24"/>
          <w:szCs w:val="24"/>
        </w:rPr>
        <w:t>департаментов Комиссии</w:t>
      </w:r>
      <w:bookmarkEnd w:id="2"/>
    </w:p>
    <w:p w:rsidR="004C7F80" w:rsidRPr="004C7F80" w:rsidRDefault="004C7F80" w:rsidP="004C7F80">
      <w:pPr>
        <w:pStyle w:val="Heading30"/>
        <w:keepNext/>
        <w:keepLines/>
        <w:shd w:val="clear" w:color="auto" w:fill="auto"/>
        <w:spacing w:before="0" w:after="120" w:line="240" w:lineRule="auto"/>
        <w:ind w:left="2835" w:right="282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7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9"/>
        <w:gridCol w:w="3116"/>
        <w:gridCol w:w="6"/>
      </w:tblGrid>
      <w:tr w:rsidR="00BB170E" w:rsidRPr="00CC442B" w:rsidTr="004F5B50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Количество,</w:t>
            </w:r>
            <w:r w:rsidR="004C7F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человек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Председатель и члены Коллегии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Председателя Коллегии</w:t>
            </w:r>
          </w:p>
        </w:tc>
        <w:tc>
          <w:tcPr>
            <w:tcW w:w="3122" w:type="dxa"/>
            <w:gridSpan w:val="2"/>
            <w:shd w:val="clear" w:color="auto" w:fill="FFFFFF"/>
            <w:vAlign w:val="bottom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интеграции и макроэкономике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экономике и финансовой политике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промышленности и агропромышленному комплексу</w:t>
            </w:r>
          </w:p>
        </w:tc>
        <w:tc>
          <w:tcPr>
            <w:tcW w:w="3122" w:type="dxa"/>
            <w:gridSpan w:val="2"/>
            <w:shd w:val="clear" w:color="auto" w:fill="FFFFFF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торговле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техническому регулированию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таможенному сотрудничеству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энергетике и инфраструктуре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bottom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конкуренции и антимонопольному регулированию</w:t>
            </w:r>
          </w:p>
        </w:tc>
        <w:tc>
          <w:tcPr>
            <w:tcW w:w="3122" w:type="dxa"/>
            <w:gridSpan w:val="2"/>
            <w:shd w:val="clear" w:color="auto" w:fill="FFFFFF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Секретариат члена Коллегии (Министра) по внутренним рынкам, информатизации, информационно-коммуникационным технологиям</w:t>
            </w:r>
          </w:p>
        </w:tc>
        <w:tc>
          <w:tcPr>
            <w:tcW w:w="3122" w:type="dxa"/>
            <w:gridSpan w:val="2"/>
            <w:shd w:val="clear" w:color="auto" w:fill="FFFFFF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протокола и организационного обеспечения</w:t>
            </w:r>
          </w:p>
        </w:tc>
        <w:tc>
          <w:tcPr>
            <w:tcW w:w="3122" w:type="dxa"/>
            <w:gridSpan w:val="2"/>
            <w:shd w:val="clear" w:color="auto" w:fill="FFFFFF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79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финансов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36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Правовой департамент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46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61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развития интеграции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38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макроэкономической политики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31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Департамент статистики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32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финансовой политики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36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трудовой миграции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19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промышленной политики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36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агропромышленной политики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29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торговой политики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44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таможенно-тарифного и нетарифного регулирования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61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защиты внутреннего рынка</w:t>
            </w:r>
          </w:p>
        </w:tc>
        <w:tc>
          <w:tcPr>
            <w:tcW w:w="3122" w:type="dxa"/>
            <w:gridSpan w:val="2"/>
            <w:shd w:val="clear" w:color="auto" w:fill="FFFFFF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35</w:t>
            </w:r>
          </w:p>
        </w:tc>
      </w:tr>
      <w:tr w:rsidR="00BB170E" w:rsidRPr="00CC442B" w:rsidTr="004F5B50">
        <w:trPr>
          <w:jc w:val="center"/>
        </w:trPr>
        <w:tc>
          <w:tcPr>
            <w:tcW w:w="6629" w:type="dxa"/>
            <w:shd w:val="clear" w:color="auto" w:fill="FFFFFF"/>
            <w:vAlign w:val="bottom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технического регулирования и аккредитации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61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санитарных, фитосанитарных и ветеринарных мер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32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3116" w:type="dxa"/>
            <w:shd w:val="clear" w:color="auto" w:fill="FFFFFF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47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таможенной инфраструктуры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23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39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энергетики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антимонопольного регулирования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3116" w:type="dxa"/>
            <w:shd w:val="clear" w:color="auto" w:fill="FFFFFF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32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информационных технологий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34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center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Департамент функционирования внутренних рынков</w:t>
            </w:r>
          </w:p>
        </w:tc>
        <w:tc>
          <w:tcPr>
            <w:tcW w:w="3116" w:type="dxa"/>
            <w:shd w:val="clear" w:color="auto" w:fill="FFFFFF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23</w:t>
            </w:r>
          </w:p>
        </w:tc>
      </w:tr>
      <w:tr w:rsidR="00BB170E" w:rsidRPr="00CC442B" w:rsidTr="004F5B50">
        <w:trPr>
          <w:gridAfter w:val="1"/>
          <w:wAfter w:w="6" w:type="dxa"/>
          <w:jc w:val="center"/>
        </w:trPr>
        <w:tc>
          <w:tcPr>
            <w:tcW w:w="6629" w:type="dxa"/>
            <w:shd w:val="clear" w:color="auto" w:fill="FFFFFF"/>
            <w:vAlign w:val="bottom"/>
          </w:tcPr>
          <w:p w:rsidR="00BB170E" w:rsidRPr="00CC442B" w:rsidRDefault="00463521" w:rsidP="004A0203">
            <w:pPr>
              <w:pStyle w:val="Bodytext20"/>
              <w:shd w:val="clear" w:color="auto" w:fill="auto"/>
              <w:spacing w:after="12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3116" w:type="dxa"/>
            <w:shd w:val="clear" w:color="auto" w:fill="FFFFFF"/>
            <w:vAlign w:val="bottom"/>
          </w:tcPr>
          <w:p w:rsidR="00BB170E" w:rsidRPr="00CC442B" w:rsidRDefault="00463521" w:rsidP="004F5B50">
            <w:pPr>
              <w:pStyle w:val="Bodytext20"/>
              <w:shd w:val="clear" w:color="auto" w:fill="auto"/>
              <w:spacing w:after="120" w:line="240" w:lineRule="auto"/>
              <w:ind w:lef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C442B">
              <w:rPr>
                <w:rStyle w:val="Bodytext21"/>
                <w:rFonts w:ascii="Sylfaen" w:hAnsi="Sylfaen"/>
                <w:sz w:val="24"/>
                <w:szCs w:val="24"/>
              </w:rPr>
              <w:t>1071</w:t>
            </w:r>
          </w:p>
        </w:tc>
      </w:tr>
    </w:tbl>
    <w:p w:rsidR="00181BF0" w:rsidRDefault="00181BF0">
      <w:r>
        <w:br w:type="page"/>
      </w:r>
    </w:p>
    <w:p w:rsidR="00461D77" w:rsidRDefault="00463521" w:rsidP="00461D77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CC442B">
        <w:rPr>
          <w:rFonts w:ascii="Sylfaen" w:hAnsi="Sylfaen"/>
          <w:sz w:val="24"/>
          <w:szCs w:val="24"/>
        </w:rPr>
        <w:lastRenderedPageBreak/>
        <w:t>УТВЕРЖДЕНО</w:t>
      </w:r>
      <w:r w:rsidR="00CC442B">
        <w:rPr>
          <w:rFonts w:ascii="Sylfaen" w:hAnsi="Sylfaen"/>
          <w:sz w:val="24"/>
          <w:szCs w:val="24"/>
        </w:rPr>
        <w:t xml:space="preserve"> 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Решением Совета</w:t>
      </w:r>
    </w:p>
    <w:p w:rsidR="00BB170E" w:rsidRPr="00C218D9" w:rsidRDefault="00463521" w:rsidP="00461D77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Евразийской экономической комиссии</w:t>
      </w:r>
      <w:r w:rsidR="00CC442B">
        <w:rPr>
          <w:rFonts w:ascii="Sylfaen" w:hAnsi="Sylfaen"/>
          <w:sz w:val="24"/>
          <w:szCs w:val="24"/>
        </w:rPr>
        <w:t xml:space="preserve"> </w:t>
      </w:r>
      <w:r w:rsidR="00461D77" w:rsidRPr="00461D77">
        <w:rPr>
          <w:rFonts w:ascii="Sylfaen" w:hAnsi="Sylfaen"/>
          <w:sz w:val="24"/>
          <w:szCs w:val="24"/>
        </w:rPr>
        <w:br/>
      </w:r>
      <w:r w:rsidRPr="00CC442B">
        <w:rPr>
          <w:rFonts w:ascii="Sylfaen" w:hAnsi="Sylfaen"/>
          <w:sz w:val="24"/>
          <w:szCs w:val="24"/>
        </w:rPr>
        <w:t>от 12 февраля 2016 г. № 1</w:t>
      </w:r>
    </w:p>
    <w:p w:rsidR="00461D77" w:rsidRPr="00C218D9" w:rsidRDefault="00461D77" w:rsidP="00461D77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</w:p>
    <w:p w:rsidR="00BB170E" w:rsidRPr="00CC442B" w:rsidRDefault="00463521" w:rsidP="00461D77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3" w:name="bookmark5"/>
      <w:r w:rsidRPr="00CC442B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РАСПРЕДЕЛЕНИЕ</w:t>
      </w:r>
      <w:bookmarkEnd w:id="3"/>
    </w:p>
    <w:p w:rsidR="00BB170E" w:rsidRPr="00C218D9" w:rsidRDefault="00463521" w:rsidP="00461D77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департаментов Евразийской экономической комиссии</w:t>
      </w:r>
      <w:r w:rsidR="00CC442B">
        <w:rPr>
          <w:rFonts w:ascii="Sylfaen" w:hAnsi="Sylfaen"/>
          <w:sz w:val="24"/>
          <w:szCs w:val="24"/>
        </w:rPr>
        <w:t xml:space="preserve"> </w:t>
      </w:r>
      <w:r w:rsidRPr="00CC442B">
        <w:rPr>
          <w:rFonts w:ascii="Sylfaen" w:hAnsi="Sylfaen"/>
          <w:sz w:val="24"/>
          <w:szCs w:val="24"/>
        </w:rPr>
        <w:t>между членами Коллегии Евразийской экономической комиссии</w:t>
      </w:r>
    </w:p>
    <w:p w:rsidR="00461D77" w:rsidRPr="00C218D9" w:rsidRDefault="00461D77" w:rsidP="00461D77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Председатель Коллегии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Председателя Коллегии Евразийской экономической комиссии;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протокола и организационного обеспечения; Департамент финансов;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Правовой департамент;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управления делами.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интеграции и макроэкономике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интеграции и макроэкономике Евразийской экономической комиссии; Департамент развития интеграции;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макроэкономической политики;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статистики.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экономике и финансовой политике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экономике и финансовой политике Евразийской экономической комиссии; Департамент финансовой политики;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развития предпринимательской деятельности; Департамент трудовой миграции.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промышленности и агропромышленному комплексу Евразийской экономической комиссии: Секретариат члена Коллегии (Министра) по промышленности и агропромышленному комплексу Евразийской экономической комиссии;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промышленной политики;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агропромышленной политики.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торговле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lastRenderedPageBreak/>
        <w:t>Секретариат члена Коллегии (Министра) по торговле Евразийской экономической комиссии;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торговой политики;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таможенно-тарифного и нетарифного регулирования;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защиты внутреннего рынка.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техническому регулированию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техническому регулированию Евразийской экономической комиссии;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технического регулирования и аккредитации; Департамент санитарных, фитосанитарных и ветеринарных</w:t>
      </w:r>
      <w:r w:rsidR="00461D77" w:rsidRPr="00461D77">
        <w:rPr>
          <w:rFonts w:ascii="Sylfaen" w:hAnsi="Sylfaen"/>
          <w:sz w:val="24"/>
          <w:szCs w:val="24"/>
        </w:rPr>
        <w:t xml:space="preserve"> </w:t>
      </w:r>
      <w:r w:rsidRPr="00CC442B">
        <w:rPr>
          <w:rFonts w:ascii="Sylfaen" w:hAnsi="Sylfaen"/>
          <w:sz w:val="24"/>
          <w:szCs w:val="24"/>
        </w:rPr>
        <w:t>мер.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таможенному сотрудничеству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таможенному сотрудничеству Евразийской экономической комиссии;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таможенного законодательства и правоприменительной практики;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таможенной инфраструктуры.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энергетике и инфраструктуре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энергетике и инфраструктуре Евразийской экономической комиссии; Департамент транспорта и инфраструктуры;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энергетики.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конкуренции и антимонопольному регулированию Евразийской экономической комиссии: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конкуренции и антимонопольному регулированию Евразийской экономической комиссии;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антимонопольного регулирования;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конкурентной политики и политики в области государственных закупок.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Член Коллегии (Министр) по внутренним рынкам, информатизации, информационно-коммуникационным технологиям: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Секретариат члена Коллегии (Министра) по внутренним рынкам, информатизации, информационно-коммуникационным технологиям;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информационных технологий;</w:t>
      </w:r>
    </w:p>
    <w:p w:rsidR="00BB170E" w:rsidRPr="00CC442B" w:rsidRDefault="00463521" w:rsidP="00461D7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C442B">
        <w:rPr>
          <w:rFonts w:ascii="Sylfaen" w:hAnsi="Sylfaen"/>
          <w:sz w:val="24"/>
          <w:szCs w:val="24"/>
        </w:rPr>
        <w:t>Департамент функционирования внутренних рынков.</w:t>
      </w:r>
    </w:p>
    <w:sectPr w:rsidR="00BB170E" w:rsidRPr="00CC442B" w:rsidSect="00AE347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F1" w:rsidRDefault="00306EF1" w:rsidP="00BB170E">
      <w:r>
        <w:separator/>
      </w:r>
    </w:p>
  </w:endnote>
  <w:endnote w:type="continuationSeparator" w:id="0">
    <w:p w:rsidR="00306EF1" w:rsidRDefault="00306EF1" w:rsidP="00BB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F1" w:rsidRDefault="00306EF1"/>
  </w:footnote>
  <w:footnote w:type="continuationSeparator" w:id="0">
    <w:p w:rsidR="00306EF1" w:rsidRDefault="00306E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2BBB"/>
    <w:multiLevelType w:val="multilevel"/>
    <w:tmpl w:val="E598A6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9B59CD"/>
    <w:multiLevelType w:val="multilevel"/>
    <w:tmpl w:val="F8A69C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9F3F38"/>
    <w:multiLevelType w:val="multilevel"/>
    <w:tmpl w:val="05281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170E"/>
    <w:rsid w:val="00181BF0"/>
    <w:rsid w:val="001B7639"/>
    <w:rsid w:val="002F2130"/>
    <w:rsid w:val="00306EF1"/>
    <w:rsid w:val="00357F7E"/>
    <w:rsid w:val="00405185"/>
    <w:rsid w:val="00461D77"/>
    <w:rsid w:val="00463521"/>
    <w:rsid w:val="004A0203"/>
    <w:rsid w:val="004C7F80"/>
    <w:rsid w:val="004F5B50"/>
    <w:rsid w:val="00665F8A"/>
    <w:rsid w:val="006B6A1B"/>
    <w:rsid w:val="008321C1"/>
    <w:rsid w:val="009831B1"/>
    <w:rsid w:val="009F1D41"/>
    <w:rsid w:val="00AE347E"/>
    <w:rsid w:val="00BB170E"/>
    <w:rsid w:val="00C218D9"/>
    <w:rsid w:val="00CC442B"/>
    <w:rsid w:val="00D20884"/>
    <w:rsid w:val="00D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170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70E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BB1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BB1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4pt">
    <w:name w:val="Body text (2) + 14 pt"/>
    <w:aliases w:val="Bold,Spacing 0 pt"/>
    <w:basedOn w:val="Bodytext2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Exact">
    <w:name w:val="Body text (4) Exact"/>
    <w:basedOn w:val="DefaultParagraphFont"/>
    <w:link w:val="Bodytext4"/>
    <w:rsid w:val="00BB1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sid w:val="00BB170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60"/>
      <w:szCs w:val="160"/>
      <w:u w:val="none"/>
    </w:rPr>
  </w:style>
  <w:style w:type="character" w:customStyle="1" w:styleId="Bodytext3">
    <w:name w:val="Body text (3)_"/>
    <w:basedOn w:val="DefaultParagraphFont"/>
    <w:link w:val="Bodytext30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DefaultParagraphFont"/>
    <w:link w:val="Heading30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4pt">
    <w:name w:val="Heading #3 + Spacing 4 pt"/>
    <w:basedOn w:val="Heading3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BB1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B1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1">
    <w:name w:val="Body text (2) + 14 pt"/>
    <w:aliases w:val="Bold"/>
    <w:basedOn w:val="Bodytext2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BB1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BB1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BB170E"/>
    <w:pPr>
      <w:shd w:val="clear" w:color="auto" w:fill="FFFFFF"/>
      <w:spacing w:line="518" w:lineRule="exact"/>
      <w:ind w:hanging="3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">
    <w:name w:val="Body text (4)"/>
    <w:basedOn w:val="Normal"/>
    <w:link w:val="Bodytext4Exact"/>
    <w:rsid w:val="00BB17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BB170E"/>
    <w:pPr>
      <w:shd w:val="clear" w:color="auto" w:fill="FFFFFF"/>
      <w:spacing w:after="4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160"/>
      <w:szCs w:val="160"/>
    </w:rPr>
  </w:style>
  <w:style w:type="paragraph" w:customStyle="1" w:styleId="Bodytext30">
    <w:name w:val="Body text (3)"/>
    <w:basedOn w:val="Normal"/>
    <w:link w:val="Bodytext3"/>
    <w:rsid w:val="00BB170E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BB170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BB170E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2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Vahagn Karamyan</cp:lastModifiedBy>
  <cp:revision>5</cp:revision>
  <dcterms:created xsi:type="dcterms:W3CDTF">2016-03-10T06:07:00Z</dcterms:created>
  <dcterms:modified xsi:type="dcterms:W3CDTF">2016-11-23T11:54:00Z</dcterms:modified>
</cp:coreProperties>
</file>