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63307">
        <w:rPr>
          <w:rFonts w:ascii="Sylfaen" w:hAnsi="Sylfaen"/>
          <w:sz w:val="24"/>
          <w:szCs w:val="24"/>
        </w:rPr>
        <w:t>УТВЕРЖДЕНО</w:t>
      </w:r>
    </w:p>
    <w:p w:rsidR="00EB6125" w:rsidRPr="00C63307" w:rsidRDefault="001B0C39" w:rsidP="00C6330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от 27 апреля 2015 г. № 36</w:t>
      </w:r>
    </w:p>
    <w:p w:rsidR="00EB6125" w:rsidRPr="00C63307" w:rsidRDefault="00EB6125" w:rsidP="00C63307">
      <w:pPr>
        <w:pStyle w:val="Bodytext30"/>
        <w:shd w:val="clear" w:color="auto" w:fill="auto"/>
        <w:spacing w:line="240" w:lineRule="auto"/>
        <w:ind w:right="4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EB6125" w:rsidRPr="00C63307" w:rsidRDefault="00EB6125" w:rsidP="00C63307">
      <w:pPr>
        <w:pStyle w:val="Bodytext30"/>
        <w:shd w:val="clear" w:color="auto" w:fill="auto"/>
        <w:spacing w:line="240" w:lineRule="auto"/>
        <w:ind w:left="1134" w:right="1583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420DA3" w:rsidRPr="00C63307" w:rsidRDefault="001B0C39" w:rsidP="00C63307">
      <w:pPr>
        <w:pStyle w:val="Bodytext30"/>
        <w:shd w:val="clear" w:color="auto" w:fill="auto"/>
        <w:spacing w:line="240" w:lineRule="auto"/>
        <w:ind w:left="1134" w:right="1583"/>
        <w:rPr>
          <w:rFonts w:ascii="Sylfaen" w:hAnsi="Sylfaen"/>
          <w:sz w:val="24"/>
          <w:szCs w:val="24"/>
        </w:rPr>
      </w:pPr>
      <w:r w:rsidRPr="00C6330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420DA3" w:rsidRDefault="001B0C39" w:rsidP="00C63307">
      <w:pPr>
        <w:pStyle w:val="Bodytext30"/>
        <w:shd w:val="clear" w:color="auto" w:fill="auto"/>
        <w:spacing w:line="240" w:lineRule="auto"/>
        <w:ind w:left="1134" w:right="1583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>о Консультативном комитете по вопросам социального</w:t>
      </w:r>
      <w:r w:rsidR="00EB6125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обеспечения, соблюдения пенсионных прав, оказания медицинской</w:t>
      </w:r>
      <w:r w:rsidR="00EB6125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помощи и профессиональной деятельности трудящихся</w:t>
      </w:r>
      <w:r w:rsidR="00EB6125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государств - членов Евразийского экономического союза</w:t>
      </w:r>
    </w:p>
    <w:p w:rsidR="00D248DC" w:rsidRPr="00D248DC" w:rsidRDefault="00D248DC" w:rsidP="00C63307">
      <w:pPr>
        <w:pStyle w:val="Bodytext30"/>
        <w:shd w:val="clear" w:color="auto" w:fill="auto"/>
        <w:spacing w:line="240" w:lineRule="auto"/>
        <w:ind w:left="1134" w:right="1583"/>
        <w:rPr>
          <w:rFonts w:ascii="Sylfaen" w:hAnsi="Sylfaen"/>
          <w:sz w:val="24"/>
          <w:szCs w:val="24"/>
          <w:lang w:val="en-US"/>
        </w:rPr>
      </w:pPr>
    </w:p>
    <w:p w:rsidR="00420DA3" w:rsidRDefault="00EB6125" w:rsidP="00C63307">
      <w:pPr>
        <w:pStyle w:val="Bodytext20"/>
        <w:shd w:val="clear" w:color="auto" w:fill="auto"/>
        <w:tabs>
          <w:tab w:val="left" w:pos="3751"/>
        </w:tabs>
        <w:spacing w:before="0" w:after="120" w:line="240" w:lineRule="auto"/>
        <w:ind w:left="3460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  <w:lang w:val="en-US"/>
        </w:rPr>
        <w:t>I</w:t>
      </w:r>
      <w:r w:rsidRPr="00C63307">
        <w:rPr>
          <w:rFonts w:ascii="Sylfaen" w:hAnsi="Sylfaen"/>
          <w:sz w:val="24"/>
          <w:szCs w:val="24"/>
        </w:rPr>
        <w:t xml:space="preserve">. </w:t>
      </w:r>
      <w:r w:rsidR="001B0C39" w:rsidRPr="00C63307">
        <w:rPr>
          <w:rFonts w:ascii="Sylfaen" w:hAnsi="Sylfaen"/>
          <w:sz w:val="24"/>
          <w:szCs w:val="24"/>
        </w:rPr>
        <w:t>Общие положения</w:t>
      </w:r>
    </w:p>
    <w:p w:rsidR="00D248DC" w:rsidRPr="00D248DC" w:rsidRDefault="00D248DC" w:rsidP="00C63307">
      <w:pPr>
        <w:pStyle w:val="Bodytext20"/>
        <w:shd w:val="clear" w:color="auto" w:fill="auto"/>
        <w:tabs>
          <w:tab w:val="left" w:pos="3751"/>
        </w:tabs>
        <w:spacing w:before="0" w:after="120" w:line="240" w:lineRule="auto"/>
        <w:ind w:left="3460"/>
        <w:rPr>
          <w:rFonts w:ascii="Sylfaen" w:hAnsi="Sylfaen"/>
          <w:sz w:val="24"/>
          <w:szCs w:val="24"/>
          <w:lang w:val="en-US"/>
        </w:rPr>
      </w:pPr>
    </w:p>
    <w:p w:rsidR="00420DA3" w:rsidRPr="00C63307" w:rsidRDefault="00EB6125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1.</w:t>
      </w:r>
      <w:r w:rsidR="001B0C39" w:rsidRPr="00C63307">
        <w:rPr>
          <w:rFonts w:ascii="Sylfaen" w:hAnsi="Sylfaen"/>
          <w:sz w:val="24"/>
          <w:szCs w:val="24"/>
        </w:rPr>
        <w:t xml:space="preserve"> Консультативный комитет по вопросам социального обеспечения, соблюдения пенсионных прав, оказания медицинской помощи и профессиональной деятельности трудящихся государств - членов Евразийского экономического союза (далее соответственно - Комитет, государства-члены, Союз) создается при Коллегии Евразийской экономической комиссии (далее соответственно - Коллегия, Комиссия) в соответствии с Договором о Евразийском экономическом союзе от 29 мая 2014 года.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Комитет является консультативным органом Евразийской экономической комиссии по вопросам проведения согласованной политики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государств-членов, направленной на формирование равных условий осуществления трудовой деятельности трудящимися государств-членов на территории Союза, подготовку рекомендаций для Комиссии по вопросам применения мер, направленных на повышение эффективности взаимодействия уполномоченных органов в данной сфере.</w:t>
      </w:r>
    </w:p>
    <w:p w:rsidR="00420DA3" w:rsidRDefault="00214E4B" w:rsidP="00C63307">
      <w:pPr>
        <w:pStyle w:val="Bodytext20"/>
        <w:shd w:val="clear" w:color="auto" w:fill="auto"/>
        <w:tabs>
          <w:tab w:val="left" w:pos="1092"/>
        </w:tabs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 xml:space="preserve">2. </w:t>
      </w:r>
      <w:r w:rsidR="001B0C39" w:rsidRPr="00C63307">
        <w:rPr>
          <w:rFonts w:ascii="Sylfaen" w:hAnsi="Sylfaen"/>
          <w:sz w:val="24"/>
          <w:szCs w:val="24"/>
        </w:rPr>
        <w:t>Комитет в своей деятельности руководствуется Договором о Евразийском экономическом союзе от 29 мая 2014 года, другими международными договорами и актами, составляющими право Союза, Регламентом работы Евразийской экономической комиссии, утвержденным Решением Высшего Евразийского экономического совета от 23 декабря 2014 г. № 98, а также настоящим Положением.</w:t>
      </w:r>
    </w:p>
    <w:p w:rsidR="00D248DC" w:rsidRPr="00D248DC" w:rsidRDefault="00D248DC" w:rsidP="00C63307">
      <w:pPr>
        <w:pStyle w:val="Bodytext20"/>
        <w:shd w:val="clear" w:color="auto" w:fill="auto"/>
        <w:tabs>
          <w:tab w:val="left" w:pos="1092"/>
        </w:tabs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420DA3" w:rsidRDefault="001B0C39" w:rsidP="00C63307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C63307">
        <w:rPr>
          <w:rFonts w:ascii="Sylfaen" w:hAnsi="Sylfaen"/>
          <w:sz w:val="24"/>
          <w:szCs w:val="24"/>
        </w:rPr>
        <w:t>. Основные задачи и функции Комитета</w:t>
      </w:r>
    </w:p>
    <w:p w:rsidR="00D248DC" w:rsidRPr="00D248DC" w:rsidRDefault="00D248DC" w:rsidP="00C63307">
      <w:pPr>
        <w:pStyle w:val="Bodytext20"/>
        <w:shd w:val="clear" w:color="auto" w:fill="auto"/>
        <w:spacing w:before="0" w:after="120" w:line="240" w:lineRule="auto"/>
        <w:ind w:right="20"/>
        <w:jc w:val="center"/>
        <w:rPr>
          <w:rFonts w:ascii="Sylfaen" w:hAnsi="Sylfaen"/>
          <w:sz w:val="24"/>
          <w:szCs w:val="24"/>
          <w:lang w:val="en-US"/>
        </w:rPr>
      </w:pPr>
    </w:p>
    <w:p w:rsidR="00420DA3" w:rsidRPr="00C63307" w:rsidRDefault="00214E4B" w:rsidP="00C63307">
      <w:pPr>
        <w:pStyle w:val="Bodytext20"/>
        <w:shd w:val="clear" w:color="auto" w:fill="auto"/>
        <w:tabs>
          <w:tab w:val="left" w:pos="1138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lastRenderedPageBreak/>
        <w:t xml:space="preserve">3. </w:t>
      </w:r>
      <w:r w:rsidR="001B0C39" w:rsidRPr="00C63307">
        <w:rPr>
          <w:rFonts w:ascii="Sylfaen" w:hAnsi="Sylfaen"/>
          <w:sz w:val="24"/>
          <w:szCs w:val="24"/>
        </w:rPr>
        <w:t>Основными задачами Комитета являются: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09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а)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подготовка рекомендаций для Комиссии по вопросам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09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б)</w:t>
      </w:r>
      <w:r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63307">
        <w:rPr>
          <w:rFonts w:ascii="Sylfaen" w:hAnsi="Sylfaen"/>
          <w:sz w:val="24"/>
          <w:szCs w:val="24"/>
        </w:rPr>
        <w:t>проведение консультаций по вопросам социального обеспечения, соблюдения пенсионных прав, оказания медицинской помощи и профессиональной деятельности трудящихся государств- членов;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0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в)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подготовка предложений по взаимодействию уполномоченных органов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09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г)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подготовка предложений по проектам рекомендаций Комиссии для государств-членов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3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д)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рассмотрение иных вопросов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 в рамках проведения консультаций, в том числе по поручению члена Коллегии, к компетенции которого относятся вопросы трудовой миграции, а также подготовка предложений по указанным вопросам.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13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4. </w:t>
      </w:r>
      <w:r w:rsidR="001B0C39" w:rsidRPr="00C63307">
        <w:rPr>
          <w:rFonts w:ascii="Sylfaen" w:hAnsi="Sylfaen"/>
          <w:sz w:val="24"/>
          <w:szCs w:val="24"/>
        </w:rPr>
        <w:t>Для реализации возложенных на него задач Комитет осуществляет следующие функции: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66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а)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участвует в проведении анализа: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международных договоров и актов, составляющих право Союза, а также законодательства государств-членов;</w:t>
      </w:r>
    </w:p>
    <w:p w:rsidR="00B45E84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правоприменительной практики реализации законодательства государств-членов в сфере социального обеспечения, соблюдения пенсионных прав, оказания медицинской помощи и профессиональной деятельнос</w:t>
      </w:r>
      <w:r w:rsidR="00B45E84" w:rsidRPr="00C63307">
        <w:rPr>
          <w:rFonts w:ascii="Sylfaen" w:hAnsi="Sylfaen"/>
          <w:sz w:val="24"/>
          <w:szCs w:val="24"/>
        </w:rPr>
        <w:t>ти трудящихся государств-членов;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деятельности международных организаций в соответствующих сферах;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8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б)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подготавливает предложения по следующим вопросам: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гармонизация законодательства государств-членов в сфере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формирование эффективных механизмов и выработка принципов проведения государствами-членами согласованной политики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государств-членов;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lastRenderedPageBreak/>
        <w:t>организация сотрудничества между уполномоченными органами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государств-членов, международными организациями и Комиссией;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совершенствование порядка проведения мониторинга и контроля за исполнением государствами-членами положений международных договоров и актов, составляющих право Союза, в сфере социального обеспечения, соблюдения пенсионных прав, оказания медицинской помощи и профессиональной деятельности трудящихся государств- членов;</w:t>
      </w:r>
    </w:p>
    <w:p w:rsidR="00420DA3" w:rsidRDefault="001B0C39" w:rsidP="00C63307">
      <w:pPr>
        <w:pStyle w:val="Bodytext20"/>
        <w:shd w:val="clear" w:color="auto" w:fill="auto"/>
        <w:tabs>
          <w:tab w:val="left" w:pos="1152"/>
        </w:tabs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>в)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осуществляет иные функции в пределах своей компетенции.</w:t>
      </w:r>
    </w:p>
    <w:p w:rsidR="00D248DC" w:rsidRPr="00D248DC" w:rsidRDefault="00D248DC" w:rsidP="00C63307">
      <w:pPr>
        <w:pStyle w:val="Bodytext20"/>
        <w:shd w:val="clear" w:color="auto" w:fill="auto"/>
        <w:tabs>
          <w:tab w:val="left" w:pos="1152"/>
        </w:tabs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420DA3" w:rsidRDefault="001B0C39" w:rsidP="00C63307">
      <w:pPr>
        <w:pStyle w:val="Bodytext2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>III. Состав Комитета</w:t>
      </w:r>
    </w:p>
    <w:p w:rsidR="00D248DC" w:rsidRPr="00D248DC" w:rsidRDefault="00D248DC" w:rsidP="00C63307">
      <w:pPr>
        <w:pStyle w:val="Bodytext20"/>
        <w:shd w:val="clear" w:color="auto" w:fill="auto"/>
        <w:spacing w:before="0" w:after="120" w:line="240" w:lineRule="auto"/>
        <w:ind w:right="40"/>
        <w:jc w:val="center"/>
        <w:rPr>
          <w:rFonts w:ascii="Sylfaen" w:hAnsi="Sylfaen"/>
          <w:sz w:val="24"/>
          <w:szCs w:val="24"/>
          <w:lang w:val="en-US"/>
        </w:rPr>
      </w:pPr>
    </w:p>
    <w:p w:rsidR="00420DA3" w:rsidRPr="00C63307" w:rsidRDefault="00214E4B" w:rsidP="00C63307">
      <w:pPr>
        <w:pStyle w:val="Bodytext20"/>
        <w:shd w:val="clear" w:color="auto" w:fill="auto"/>
        <w:tabs>
          <w:tab w:val="left" w:pos="1116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5. </w:t>
      </w:r>
      <w:r w:rsidR="001B0C39" w:rsidRPr="00C63307">
        <w:rPr>
          <w:rFonts w:ascii="Sylfaen" w:hAnsi="Sylfaen"/>
          <w:sz w:val="24"/>
          <w:szCs w:val="24"/>
        </w:rPr>
        <w:t>Состав Комитета формируется из руководителей (заместителей руководителей) уполномоченных органов государственной власти государств-членов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Для формирования состава Комитета Коллегия запрашивает у государств-членов предложения по кандидатурам уполномоченных представителей органов государственной власти государств-членов.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По предложению государств-членов в состав Комитета могут включаться представители бизнес-сообщества, научных и общественных организаций, иные независимые эксперты.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Государства-члены своевременно информируют Коллегию о необходимости замены уполномоченных представителей органов государственной власти государств-членов в Комитете, а также представляют предложения по внесению изменений в его состав.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Состав Комитета утверждается распоряжением Коллегии.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6.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Председательствует на заседаниях Комитета и осуществляет общее руководство работой Комитета член Коллегии, к компетенции которого относятся вопросы трудовой миграции (далее - председатель Комитета).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19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7. </w:t>
      </w:r>
      <w:r w:rsidR="001B0C39" w:rsidRPr="00C63307">
        <w:rPr>
          <w:rFonts w:ascii="Sylfaen" w:hAnsi="Sylfaen"/>
          <w:sz w:val="24"/>
          <w:szCs w:val="24"/>
        </w:rPr>
        <w:t>Председатель Комитета: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а)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руководит деятельностью Комитета и организует работу по выполнению возложенных на Комитет задач;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б)</w:t>
      </w:r>
      <w:r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63307">
        <w:rPr>
          <w:rFonts w:ascii="Sylfaen" w:hAnsi="Sylfaen"/>
          <w:sz w:val="24"/>
          <w:szCs w:val="24"/>
        </w:rPr>
        <w:t>согласовывает и утверждает повестку дня заседания Комитета, определяет дату, время и место его проведения;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3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в)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ведет заседания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3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lastRenderedPageBreak/>
        <w:t>г)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утверждает протоколы заседаний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д)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информирует Коллегию и Совет Комиссии о выработанных Комитетом рекомендациях;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е)</w:t>
      </w:r>
      <w:r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63307">
        <w:rPr>
          <w:rFonts w:ascii="Sylfaen" w:hAnsi="Sylfaen"/>
          <w:sz w:val="24"/>
          <w:szCs w:val="24"/>
        </w:rPr>
        <w:t>утверждает положения о подкомитетах, экспертных и рабочих группах и их составы;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0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ж)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представляет Комитет на заседаниях Коллегии и Совета Комиссии и во взаимоотношениях с иными органами Союза.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8. </w:t>
      </w:r>
      <w:r w:rsidR="001B0C39" w:rsidRPr="00C63307">
        <w:rPr>
          <w:rFonts w:ascii="Sylfaen" w:hAnsi="Sylfaen"/>
          <w:sz w:val="24"/>
          <w:szCs w:val="24"/>
        </w:rPr>
        <w:t>Ответственный секретарь Комитета назначается председателем Комитета из числа должностных лиц или сотрудников Комиссии, в компетенцию которых входят вопросы по направлениям деятельности Комитета.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19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9. </w:t>
      </w:r>
      <w:r w:rsidR="001B0C39" w:rsidRPr="00C63307">
        <w:rPr>
          <w:rFonts w:ascii="Sylfaen" w:hAnsi="Sylfaen"/>
          <w:sz w:val="24"/>
          <w:szCs w:val="24"/>
        </w:rPr>
        <w:t>Ответственный секретарь Комитета: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а)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подготавливает проект повестки дня заседания Комитета по предложениям председателя Комитета и членов Комитета и представляет ее на утверждение председателю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5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б)</w:t>
      </w:r>
      <w:r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63307">
        <w:rPr>
          <w:rFonts w:ascii="Sylfaen" w:hAnsi="Sylfaen"/>
          <w:sz w:val="24"/>
          <w:szCs w:val="24"/>
        </w:rPr>
        <w:t>осуществляет контроль за подготовкой и представлением материалов к проекту повестки дня и заседанию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в)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готовит и направляет членам Комитета утвержденную повестку дня заседания Комитета и материалы к ней;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г)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информирует членов Комитета о дате, времени и месте проведения очередного заседания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д)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ведет протокол заседания Комитета и представляет его на утверждение председателю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е)</w:t>
      </w:r>
      <w:r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63307">
        <w:rPr>
          <w:rFonts w:ascii="Sylfaen" w:hAnsi="Sylfaen"/>
          <w:sz w:val="24"/>
          <w:szCs w:val="24"/>
        </w:rPr>
        <w:t>организует подготовку и доведение до членов Комитета итоговых документов, подготовленных по результатам заседания Комитета;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15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ж)</w:t>
      </w:r>
      <w:r w:rsidR="00881A63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осуществляет контроль за исполнением протокольных решений Комитета.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16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10.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31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11.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По решению председателя Комитета на заседаниях Комитета рассматриваются не включенные в повестку дня заседания вопросы, предложенные для рассмотрения департаментами Комиссии, к компетенции которых относятся вопросы в сфере социального обеспечения, соблюдения пенсионных прав, оказания медицинской помощи и профессиональной деятельности трудящихся государств- членов.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1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12. </w:t>
      </w:r>
      <w:r w:rsidR="001B0C39" w:rsidRPr="00C63307">
        <w:rPr>
          <w:rFonts w:ascii="Sylfaen" w:hAnsi="Sylfaen"/>
          <w:sz w:val="24"/>
          <w:szCs w:val="24"/>
        </w:rPr>
        <w:t>При Комитете могут создаваться подкомитеты для решения вопросов по направлениям деятельности Комитета и при необходимости экспертные и рабочие группы, в том числе рабочие группы для решения конкретных задач.</w:t>
      </w:r>
    </w:p>
    <w:p w:rsidR="00420DA3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 xml:space="preserve">Составы подкомитетов, экспертных и рабочих групп формируются из числа </w:t>
      </w:r>
      <w:r w:rsidRPr="00C63307">
        <w:rPr>
          <w:rFonts w:ascii="Sylfaen" w:hAnsi="Sylfaen"/>
          <w:sz w:val="24"/>
          <w:szCs w:val="24"/>
        </w:rPr>
        <w:lastRenderedPageBreak/>
        <w:t>представителей уполномоченных органов и экспертов государств-членов, к компетенции которых относятся вопросы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государств-членов.</w:t>
      </w:r>
    </w:p>
    <w:p w:rsidR="00D248DC" w:rsidRPr="00D248DC" w:rsidRDefault="00D248DC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420DA3" w:rsidRDefault="001B0C39" w:rsidP="00C633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C63307">
        <w:rPr>
          <w:rFonts w:ascii="Sylfaen" w:hAnsi="Sylfaen"/>
          <w:sz w:val="24"/>
          <w:szCs w:val="24"/>
        </w:rPr>
        <w:t>IV. Порядок работы Комитета</w:t>
      </w:r>
    </w:p>
    <w:p w:rsidR="00D248DC" w:rsidRPr="00D248DC" w:rsidRDefault="00D248DC" w:rsidP="00C6330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420DA3" w:rsidRPr="00C63307" w:rsidRDefault="00214E4B" w:rsidP="00C63307">
      <w:pPr>
        <w:pStyle w:val="Bodytext20"/>
        <w:shd w:val="clear" w:color="auto" w:fill="auto"/>
        <w:tabs>
          <w:tab w:val="left" w:pos="126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13. </w:t>
      </w:r>
      <w:r w:rsidR="001B0C39" w:rsidRPr="00C63307">
        <w:rPr>
          <w:rFonts w:ascii="Sylfaen" w:hAnsi="Sylfaen"/>
          <w:sz w:val="24"/>
          <w:szCs w:val="24"/>
        </w:rPr>
        <w:t>Заседания Комитета проводятся по мере необходимости.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29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14. </w:t>
      </w:r>
      <w:r w:rsidR="001B0C39" w:rsidRPr="00C63307">
        <w:rPr>
          <w:rFonts w:ascii="Sylfaen" w:hAnsi="Sylfaen"/>
          <w:sz w:val="24"/>
          <w:szCs w:val="24"/>
        </w:rPr>
        <w:t>Решение о проведении заседания Комитета принимается председателем Комитета.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4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15.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Предложения по формированию проекта повестки дня заседания Комитета направляются членами Комитета председателю Комитета.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Члены Комитета, предложившие вопросы для включения в повестку дня заседания Комитета, обеспечивают представление ответственному секретарю Комитета информации и материалов по предложенным вопросам.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5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16.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Председатель Комитета имеет право запрашивать в установленном порядке у уполномоченных органов в сфере социального обеспечения, соблюдения пенсионных прав, оказания медицинской помощи и профессиональной деятельности трудящихся государств-членов и у членов Комитета материалы и информацию по вопросам, отнесенным к компетенции Комитета.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2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17.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Материалы к повестке дня заседания Комитета включают в себя: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2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а)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справки по рассматриваемым вопросам;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034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б)</w:t>
      </w:r>
      <w:r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63307">
        <w:rPr>
          <w:rFonts w:ascii="Sylfaen" w:hAnsi="Sylfaen"/>
          <w:sz w:val="24"/>
          <w:szCs w:val="24"/>
        </w:rPr>
        <w:t>проекты предлагаемых к рассмотрению документов (при наличии);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2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в)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проекты протокольных решений;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1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г)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проекты рекомендаций для Комиссии;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1212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д)</w:t>
      </w:r>
      <w:r w:rsidR="00214E4B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необходимые справочные и аналитические материалы.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2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18.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Ответственный секретарь Комитета направляет членам Комитета повестку дня заседания Комитета и материалы к ней, в том числе в электронном виде, не позднее чем за 20 рабочих дней до даты проведения заседания Комитета.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1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19.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Заседания Комитета проводятся, как правило, в помещениях Комиссии.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Заседание Комитета может проводиться в любом из государств-членов по решению председателя Комитета, принимаемому на основе предложений уполномоченных органов в сфере социального обеспечения, соблюдения пенсионных прав, оказания медицинской помощи и профессиональной деятельности трудящихся государств- членов. В этом случае принимающее государство-член оказывает содействие в организации и проведении заседания Комитета.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lastRenderedPageBreak/>
        <w:t>По решению председателя Комитета заседание Комитета может проводиться в режиме видеоконференции.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1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  <w:lang w:eastAsia="en-US" w:bidi="en-US"/>
        </w:rPr>
        <w:t>20.</w:t>
      </w:r>
      <w:r w:rsidR="001B0C39" w:rsidRPr="00C6330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Заседание Комитета признается правомочным, если в нем принимают участие не менее двух третей его членов.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Члены Комитета участвуют в заседаниях Комитета лично, без права замены.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В случае невозможности присутствия члена Комитета на заседании он имеет право заблаговременно представить свое мнение по рассматриваемым вопросам в письменной форме.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27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21. </w:t>
      </w:r>
      <w:r w:rsidR="001B0C39" w:rsidRPr="00C63307">
        <w:rPr>
          <w:rFonts w:ascii="Sylfaen" w:hAnsi="Sylfaen"/>
          <w:sz w:val="24"/>
          <w:szCs w:val="24"/>
        </w:rPr>
        <w:t>Члены Комитета могут рекомендовать снять вопрос с рассмотрения Комитетом, если, по их мнению, данный вопрос требует дополнительной проработки.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03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22. </w:t>
      </w:r>
      <w:r w:rsidR="001B0C39" w:rsidRPr="00C63307">
        <w:rPr>
          <w:rFonts w:ascii="Sylfaen" w:hAnsi="Sylfaen"/>
          <w:sz w:val="24"/>
          <w:szCs w:val="24"/>
        </w:rPr>
        <w:t>Члены Комитета обладают равными правами при обсуждении вопросов на заседании Комитета.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Решения Комитета принимаются простым большинством голосов участвующих в заседании членов Комитета. Члены Комитета от государства-члена обладают в совокупности 1 голосом.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Результаты заседания Комитета оформляются протоколом, в котором фиксируются позиции членов Комитета.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В случае если у члена Комитета имеется особое мнение, оно излагается в письменной форме и прилагается к протоколу заседания Комитета. К протоколу заседания Комитета также могут прилагаться предложения по проектам рассматриваемых документов, справочные и аналитические материалы и соответствующие обоснования.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Предложения членов Комитета, представленные ими на заседаниях Комитета, не могут рассматриваться в качестве окончательной позиции государств-членов.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Протокол заседания Комитета утверждается председателем Комитета не позднее 3 рабочих дней с даты заседания Комитета.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Ответственный секретарь Комитета направляет протокол заседания Комитета всем членам Комитета в течение 7 рабочих дней с даты его утверждения председателем Комитета.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По решению председателя Комитета протокол заседания Комитета или выписка из него может направляться участвовавшим в заседании Комитета приглашенным лицам.</w:t>
      </w:r>
    </w:p>
    <w:p w:rsidR="00420DA3" w:rsidRPr="00C63307" w:rsidRDefault="001B0C39" w:rsidP="00C6330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Протоколы заседаний Комитета хранятся у ответственного секретаря Комитета.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206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23. </w:t>
      </w:r>
      <w:r w:rsidR="001B0C39" w:rsidRPr="00C63307">
        <w:rPr>
          <w:rFonts w:ascii="Sylfaen" w:hAnsi="Sylfaen"/>
          <w:sz w:val="24"/>
          <w:szCs w:val="24"/>
        </w:rPr>
        <w:t>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государства-члены.</w:t>
      </w:r>
    </w:p>
    <w:p w:rsidR="00420DA3" w:rsidRPr="00C63307" w:rsidRDefault="001B0C39" w:rsidP="00C63307">
      <w:pPr>
        <w:pStyle w:val="Bodytext20"/>
        <w:shd w:val="clear" w:color="auto" w:fill="auto"/>
        <w:tabs>
          <w:tab w:val="left" w:pos="7436"/>
        </w:tabs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>Расходы, связанные с участием в заседаниях Комитета представителей бизнес-</w:t>
      </w:r>
      <w:r w:rsidRPr="00C63307">
        <w:rPr>
          <w:rFonts w:ascii="Sylfaen" w:hAnsi="Sylfaen"/>
          <w:sz w:val="24"/>
          <w:szCs w:val="24"/>
        </w:rPr>
        <w:lastRenderedPageBreak/>
        <w:t>сообщества, научных и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общественных</w:t>
      </w:r>
      <w:r w:rsidR="00881A63" w:rsidRPr="00C63307">
        <w:rPr>
          <w:rFonts w:ascii="Sylfaen" w:hAnsi="Sylfaen"/>
          <w:sz w:val="24"/>
          <w:szCs w:val="24"/>
        </w:rPr>
        <w:t xml:space="preserve"> </w:t>
      </w:r>
      <w:r w:rsidRPr="00C63307">
        <w:rPr>
          <w:rFonts w:ascii="Sylfaen" w:hAnsi="Sylfaen"/>
          <w:sz w:val="24"/>
          <w:szCs w:val="24"/>
        </w:rPr>
        <w:t>организаций, иных независимых экспертов, указанные лица несут самостоятельно.</w:t>
      </w:r>
    </w:p>
    <w:p w:rsidR="00420DA3" w:rsidRPr="00C63307" w:rsidRDefault="00214E4B" w:rsidP="00C63307">
      <w:pPr>
        <w:pStyle w:val="Bodytext20"/>
        <w:shd w:val="clear" w:color="auto" w:fill="auto"/>
        <w:tabs>
          <w:tab w:val="left" w:pos="1309"/>
          <w:tab w:val="left" w:pos="7436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63307">
        <w:rPr>
          <w:rFonts w:ascii="Sylfaen" w:hAnsi="Sylfaen"/>
          <w:sz w:val="24"/>
          <w:szCs w:val="24"/>
        </w:rPr>
        <w:t xml:space="preserve">24. </w:t>
      </w:r>
      <w:r w:rsidR="001B0C39" w:rsidRPr="00C63307">
        <w:rPr>
          <w:rFonts w:ascii="Sylfaen" w:hAnsi="Sylfaen"/>
          <w:sz w:val="24"/>
          <w:szCs w:val="24"/>
        </w:rPr>
        <w:t>Организационно-техническое обеспечение</w:t>
      </w:r>
      <w:r w:rsidR="005726BF" w:rsidRPr="00C63307">
        <w:rPr>
          <w:rFonts w:ascii="Sylfaen" w:hAnsi="Sylfaen"/>
          <w:sz w:val="24"/>
          <w:szCs w:val="24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деятельности</w:t>
      </w:r>
      <w:r w:rsidR="00B45E84" w:rsidRPr="00C63307">
        <w:rPr>
          <w:rFonts w:ascii="Sylfaen" w:hAnsi="Sylfaen"/>
          <w:sz w:val="24"/>
          <w:szCs w:val="24"/>
        </w:rPr>
        <w:t xml:space="preserve"> </w:t>
      </w:r>
      <w:r w:rsidR="001B0C39" w:rsidRPr="00C63307">
        <w:rPr>
          <w:rFonts w:ascii="Sylfaen" w:hAnsi="Sylfaen"/>
          <w:sz w:val="24"/>
          <w:szCs w:val="24"/>
        </w:rPr>
        <w:t>Комитета осуществляется Комиссией.</w:t>
      </w:r>
    </w:p>
    <w:sectPr w:rsidR="00420DA3" w:rsidRPr="00C63307" w:rsidSect="00C6330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6A" w:rsidRDefault="0074046A" w:rsidP="00420DA3">
      <w:r>
        <w:separator/>
      </w:r>
    </w:p>
  </w:endnote>
  <w:endnote w:type="continuationSeparator" w:id="0">
    <w:p w:rsidR="0074046A" w:rsidRDefault="0074046A" w:rsidP="0042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6A" w:rsidRDefault="0074046A"/>
  </w:footnote>
  <w:footnote w:type="continuationSeparator" w:id="0">
    <w:p w:rsidR="0074046A" w:rsidRDefault="007404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AD6"/>
    <w:multiLevelType w:val="multilevel"/>
    <w:tmpl w:val="083A1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D5088C"/>
    <w:multiLevelType w:val="multilevel"/>
    <w:tmpl w:val="0BE6B93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BF53B7"/>
    <w:multiLevelType w:val="multilevel"/>
    <w:tmpl w:val="9BFCB9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20DA3"/>
    <w:rsid w:val="001B0C39"/>
    <w:rsid w:val="00214E4B"/>
    <w:rsid w:val="00270A2B"/>
    <w:rsid w:val="002D5141"/>
    <w:rsid w:val="00420DA3"/>
    <w:rsid w:val="005726BF"/>
    <w:rsid w:val="0074046A"/>
    <w:rsid w:val="00881A63"/>
    <w:rsid w:val="00B45E84"/>
    <w:rsid w:val="00C63307"/>
    <w:rsid w:val="00D248DC"/>
    <w:rsid w:val="00EB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0DA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0DA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420DA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2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aliases w:val="Spacing -2 pt"/>
    <w:basedOn w:val="Bodytext2"/>
    <w:rsid w:val="00420D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20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420D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20DA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20DA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20D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20DA3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4</cp:revision>
  <dcterms:created xsi:type="dcterms:W3CDTF">2016-02-02T05:45:00Z</dcterms:created>
  <dcterms:modified xsi:type="dcterms:W3CDTF">2016-06-09T12:20:00Z</dcterms:modified>
</cp:coreProperties>
</file>