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407" w:rsidRPr="007C1F08" w:rsidRDefault="00DE6235" w:rsidP="007C1F08">
      <w:pPr>
        <w:pStyle w:val="a0"/>
        <w:shd w:val="clear" w:color="auto" w:fill="auto"/>
        <w:spacing w:before="0" w:after="120" w:line="240" w:lineRule="auto"/>
        <w:ind w:left="5103" w:right="-38"/>
        <w:jc w:val="center"/>
        <w:rPr>
          <w:rFonts w:ascii="GHEA Grapalat" w:hAnsi="GHEA Grapalat"/>
          <w:sz w:val="24"/>
          <w:szCs w:val="24"/>
        </w:rPr>
      </w:pPr>
      <w:bookmarkStart w:id="0" w:name="_GoBack"/>
      <w:bookmarkEnd w:id="0"/>
      <w:r w:rsidRPr="007C1F08">
        <w:rPr>
          <w:rFonts w:ascii="GHEA Grapalat" w:hAnsi="GHEA Grapalat"/>
          <w:sz w:val="24"/>
          <w:szCs w:val="24"/>
        </w:rPr>
        <w:t>ПРИЛОЖЕНИЕ</w:t>
      </w:r>
    </w:p>
    <w:p w:rsidR="001B2407" w:rsidRPr="007C1F08" w:rsidRDefault="00DE6235" w:rsidP="007C1F08">
      <w:pPr>
        <w:pStyle w:val="a0"/>
        <w:shd w:val="clear" w:color="auto" w:fill="auto"/>
        <w:spacing w:before="0" w:after="120" w:line="240" w:lineRule="auto"/>
        <w:ind w:left="5103" w:right="-38"/>
        <w:jc w:val="center"/>
        <w:rPr>
          <w:rFonts w:ascii="GHEA Grapalat" w:hAnsi="GHEA Grapalat"/>
          <w:sz w:val="24"/>
          <w:szCs w:val="24"/>
        </w:rPr>
      </w:pPr>
      <w:r w:rsidRPr="007C1F08">
        <w:rPr>
          <w:rFonts w:ascii="GHEA Grapalat" w:hAnsi="GHEA Grapalat"/>
          <w:sz w:val="24"/>
          <w:szCs w:val="24"/>
        </w:rPr>
        <w:t>к Решению Коллегии Евразийской экономической комиссии от 10 февраля 2015 г. № 13</w:t>
      </w:r>
    </w:p>
    <w:p w:rsidR="007C1F08" w:rsidRDefault="007C1F08" w:rsidP="007C1F08">
      <w:pPr>
        <w:pStyle w:val="20"/>
        <w:shd w:val="clear" w:color="auto" w:fill="auto"/>
        <w:spacing w:line="240" w:lineRule="auto"/>
        <w:ind w:left="420"/>
        <w:jc w:val="center"/>
        <w:rPr>
          <w:rStyle w:val="22pt"/>
          <w:rFonts w:ascii="GHEA Grapalat" w:hAnsi="GHEA Grapalat"/>
          <w:b/>
          <w:bCs/>
          <w:spacing w:val="0"/>
          <w:sz w:val="24"/>
          <w:szCs w:val="24"/>
        </w:rPr>
      </w:pPr>
    </w:p>
    <w:p w:rsidR="007C1F08" w:rsidRPr="007C1F08" w:rsidRDefault="007C1F08" w:rsidP="007C1F08">
      <w:pPr>
        <w:pStyle w:val="20"/>
        <w:shd w:val="clear" w:color="auto" w:fill="auto"/>
        <w:spacing w:line="240" w:lineRule="auto"/>
        <w:ind w:left="420"/>
        <w:jc w:val="center"/>
        <w:rPr>
          <w:rStyle w:val="22pt"/>
          <w:rFonts w:ascii="GHEA Grapalat" w:hAnsi="GHEA Grapalat"/>
          <w:b/>
          <w:bCs/>
          <w:spacing w:val="0"/>
          <w:sz w:val="24"/>
          <w:szCs w:val="24"/>
        </w:rPr>
      </w:pPr>
      <w:r w:rsidRPr="007C1F08">
        <w:rPr>
          <w:rStyle w:val="22pt"/>
          <w:rFonts w:ascii="GHEA Grapalat" w:hAnsi="GHEA Grapalat"/>
          <w:b/>
          <w:bCs/>
          <w:spacing w:val="0"/>
          <w:sz w:val="24"/>
          <w:szCs w:val="24"/>
        </w:rPr>
        <w:t>ИЗМЕНЕНИЯ,</w:t>
      </w:r>
    </w:p>
    <w:p w:rsidR="001B2407" w:rsidRPr="007C1F08" w:rsidRDefault="00DE6235" w:rsidP="007C1F08">
      <w:pPr>
        <w:pStyle w:val="20"/>
        <w:shd w:val="clear" w:color="auto" w:fill="auto"/>
        <w:spacing w:line="240" w:lineRule="auto"/>
        <w:ind w:left="567" w:right="566"/>
        <w:jc w:val="center"/>
        <w:rPr>
          <w:rFonts w:ascii="GHEA Grapalat" w:hAnsi="GHEA Grapalat"/>
          <w:sz w:val="24"/>
          <w:szCs w:val="24"/>
        </w:rPr>
      </w:pPr>
      <w:r w:rsidRPr="007C1F08">
        <w:rPr>
          <w:rFonts w:ascii="GHEA Grapalat" w:hAnsi="GHEA Grapalat"/>
          <w:sz w:val="24"/>
          <w:szCs w:val="24"/>
        </w:rPr>
        <w:t>вносимые в Решение Коллегии Евразийской экономической комиссии от 11 декабря 2012 г. № 270</w:t>
      </w:r>
    </w:p>
    <w:p w:rsidR="001B2407" w:rsidRPr="007C1F08" w:rsidRDefault="007C1F08" w:rsidP="007C1F08">
      <w:pPr>
        <w:pStyle w:val="a0"/>
        <w:shd w:val="clear" w:color="auto" w:fill="auto"/>
        <w:tabs>
          <w:tab w:val="left" w:pos="1502"/>
        </w:tabs>
        <w:spacing w:before="0" w:after="120" w:line="240" w:lineRule="auto"/>
        <w:ind w:left="80" w:right="500" w:firstLine="640"/>
        <w:rPr>
          <w:rFonts w:ascii="GHEA Grapalat" w:hAnsi="GHEA Grapalat"/>
          <w:sz w:val="24"/>
          <w:szCs w:val="24"/>
        </w:rPr>
      </w:pPr>
      <w:r w:rsidRPr="007C1F08">
        <w:rPr>
          <w:rFonts w:ascii="GHEA Grapalat" w:hAnsi="GHEA Grapalat"/>
          <w:sz w:val="24"/>
          <w:szCs w:val="24"/>
        </w:rPr>
        <w:t>1.</w:t>
      </w:r>
      <w:r w:rsidRPr="007C1F08">
        <w:rPr>
          <w:rFonts w:ascii="GHEA Grapalat" w:hAnsi="GHEA Grapalat"/>
          <w:sz w:val="24"/>
          <w:szCs w:val="24"/>
        </w:rPr>
        <w:tab/>
      </w:r>
      <w:r w:rsidR="00DE6235" w:rsidRPr="007C1F08">
        <w:rPr>
          <w:rFonts w:ascii="GHEA Grapalat" w:hAnsi="GHEA Grapalat"/>
          <w:sz w:val="24"/>
          <w:szCs w:val="24"/>
        </w:rPr>
        <w:t>В</w:t>
      </w:r>
      <w:r w:rsidRPr="007C1F08">
        <w:rPr>
          <w:rFonts w:ascii="GHEA Grapalat" w:hAnsi="GHEA Grapalat"/>
          <w:sz w:val="24"/>
          <w:szCs w:val="24"/>
        </w:rPr>
        <w:t xml:space="preserve"> </w:t>
      </w:r>
      <w:r w:rsidR="00DE6235" w:rsidRPr="007C1F08">
        <w:rPr>
          <w:rFonts w:ascii="GHEA Grapalat" w:hAnsi="GHEA Grapalat"/>
          <w:sz w:val="24"/>
          <w:szCs w:val="24"/>
        </w:rPr>
        <w:t>наименовании и пункте 1 слова «Таможенного союза и Единого экономического пространства» заменить словами «Евразийского экономического союза».</w:t>
      </w:r>
    </w:p>
    <w:p w:rsidR="001B2407" w:rsidRPr="007C1F08" w:rsidRDefault="007C1F08" w:rsidP="007C1F08">
      <w:pPr>
        <w:pStyle w:val="a0"/>
        <w:shd w:val="clear" w:color="auto" w:fill="auto"/>
        <w:tabs>
          <w:tab w:val="left" w:pos="1257"/>
        </w:tabs>
        <w:spacing w:before="0" w:after="120" w:line="240" w:lineRule="auto"/>
        <w:ind w:left="80" w:right="500" w:firstLine="640"/>
        <w:rPr>
          <w:rFonts w:ascii="GHEA Grapalat" w:hAnsi="GHEA Grapalat"/>
          <w:sz w:val="24"/>
          <w:szCs w:val="24"/>
        </w:rPr>
      </w:pPr>
      <w:r w:rsidRPr="007C1F08">
        <w:rPr>
          <w:rFonts w:ascii="GHEA Grapalat" w:hAnsi="GHEA Grapalat"/>
          <w:sz w:val="24"/>
          <w:szCs w:val="24"/>
        </w:rPr>
        <w:t>2.</w:t>
      </w:r>
      <w:r w:rsidRPr="007C1F08">
        <w:rPr>
          <w:rFonts w:ascii="GHEA Grapalat" w:hAnsi="GHEA Grapalat"/>
          <w:sz w:val="24"/>
          <w:szCs w:val="24"/>
        </w:rPr>
        <w:tab/>
      </w:r>
      <w:r w:rsidR="00DE6235" w:rsidRPr="007C1F08">
        <w:rPr>
          <w:rFonts w:ascii="GHEA Grapalat" w:hAnsi="GHEA Grapalat"/>
          <w:sz w:val="24"/>
          <w:szCs w:val="24"/>
        </w:rPr>
        <w:t>Порядок обмена информацией между уполномоченными органами государств - членов Таможенного союза и Единого экономического пространства и Евразийской экономической комиссией в целях проведения согласованной макроэкономической политики, утвержденный указанным Решением, изложить в следующей редакции:</w:t>
      </w:r>
    </w:p>
    <w:p w:rsidR="001B2407" w:rsidRPr="007C1F08" w:rsidRDefault="00DE6235" w:rsidP="00CE7B41">
      <w:pPr>
        <w:pStyle w:val="a0"/>
        <w:shd w:val="clear" w:color="auto" w:fill="auto"/>
        <w:spacing w:before="0" w:after="120" w:line="240" w:lineRule="auto"/>
        <w:ind w:left="4536" w:right="-38"/>
        <w:jc w:val="center"/>
        <w:rPr>
          <w:rFonts w:ascii="GHEA Grapalat" w:hAnsi="GHEA Grapalat"/>
          <w:sz w:val="24"/>
          <w:szCs w:val="24"/>
        </w:rPr>
      </w:pPr>
      <w:r w:rsidRPr="007C1F08">
        <w:rPr>
          <w:rFonts w:ascii="GHEA Grapalat" w:hAnsi="GHEA Grapalat"/>
          <w:sz w:val="24"/>
          <w:szCs w:val="24"/>
        </w:rPr>
        <w:t>«УТВЕРЖДЕН</w:t>
      </w:r>
    </w:p>
    <w:p w:rsidR="001B2407" w:rsidRPr="007C1F08" w:rsidRDefault="00DE6235" w:rsidP="00CE7B41">
      <w:pPr>
        <w:pStyle w:val="a0"/>
        <w:shd w:val="clear" w:color="auto" w:fill="auto"/>
        <w:spacing w:before="0" w:after="120" w:line="240" w:lineRule="auto"/>
        <w:ind w:left="4536" w:right="-38"/>
        <w:jc w:val="center"/>
        <w:rPr>
          <w:rFonts w:ascii="GHEA Grapalat" w:hAnsi="GHEA Grapalat"/>
          <w:sz w:val="24"/>
          <w:szCs w:val="24"/>
        </w:rPr>
      </w:pPr>
      <w:r w:rsidRPr="007C1F08">
        <w:rPr>
          <w:rFonts w:ascii="GHEA Grapalat" w:hAnsi="GHEA Grapalat"/>
          <w:sz w:val="24"/>
          <w:szCs w:val="24"/>
        </w:rPr>
        <w:t>Решением Коллегии Евразийской экономической комиссии от 11 декабря 2012 г. № 270 (в редакции Решения Коллегии Евразийской экономической комиссии от 10 февраля 2015 г. № 13)</w:t>
      </w:r>
    </w:p>
    <w:p w:rsidR="00CE7B41" w:rsidRDefault="00CE7B41" w:rsidP="007C1F08">
      <w:pPr>
        <w:pStyle w:val="20"/>
        <w:shd w:val="clear" w:color="auto" w:fill="auto"/>
        <w:spacing w:line="240" w:lineRule="auto"/>
        <w:ind w:left="420"/>
        <w:jc w:val="center"/>
        <w:rPr>
          <w:rFonts w:ascii="GHEA Grapalat" w:hAnsi="GHEA Grapalat"/>
          <w:sz w:val="24"/>
          <w:szCs w:val="24"/>
        </w:rPr>
      </w:pPr>
      <w:bookmarkStart w:id="1" w:name="bookmark1"/>
    </w:p>
    <w:p w:rsidR="001B2407" w:rsidRPr="007C1F08" w:rsidRDefault="00DE6235" w:rsidP="007C1F08">
      <w:pPr>
        <w:pStyle w:val="20"/>
        <w:shd w:val="clear" w:color="auto" w:fill="auto"/>
        <w:spacing w:line="240" w:lineRule="auto"/>
        <w:ind w:left="420"/>
        <w:jc w:val="center"/>
        <w:rPr>
          <w:rFonts w:ascii="GHEA Grapalat" w:hAnsi="GHEA Grapalat"/>
          <w:sz w:val="24"/>
          <w:szCs w:val="24"/>
        </w:rPr>
      </w:pPr>
      <w:r w:rsidRPr="007C1F08">
        <w:rPr>
          <w:rFonts w:ascii="GHEA Grapalat" w:hAnsi="GHEA Grapalat"/>
          <w:sz w:val="24"/>
          <w:szCs w:val="24"/>
        </w:rPr>
        <w:t>ПОРЯДОК</w:t>
      </w:r>
      <w:bookmarkEnd w:id="1"/>
    </w:p>
    <w:p w:rsidR="001B2407" w:rsidRDefault="00DE6235" w:rsidP="007C1F08">
      <w:pPr>
        <w:pStyle w:val="20"/>
        <w:shd w:val="clear" w:color="auto" w:fill="auto"/>
        <w:spacing w:line="240" w:lineRule="auto"/>
        <w:ind w:left="420"/>
        <w:jc w:val="center"/>
        <w:rPr>
          <w:rFonts w:ascii="GHEA Grapalat" w:hAnsi="GHEA Grapalat"/>
          <w:sz w:val="24"/>
          <w:szCs w:val="24"/>
        </w:rPr>
      </w:pPr>
      <w:r w:rsidRPr="007C1F08">
        <w:rPr>
          <w:rFonts w:ascii="GHEA Grapalat" w:hAnsi="GHEA Grapalat"/>
          <w:sz w:val="24"/>
          <w:szCs w:val="24"/>
        </w:rPr>
        <w:t>обмена информацией между уполномоченными органами государств - членов Евразийского экономического союза и Евразийской экономической комиссией в целях проведения согласованной макроэкономической политики</w:t>
      </w:r>
    </w:p>
    <w:p w:rsidR="00CE7B41" w:rsidRPr="007C1F08" w:rsidRDefault="00CE7B41" w:rsidP="007C1F08">
      <w:pPr>
        <w:pStyle w:val="20"/>
        <w:shd w:val="clear" w:color="auto" w:fill="auto"/>
        <w:spacing w:line="240" w:lineRule="auto"/>
        <w:ind w:left="420"/>
        <w:jc w:val="center"/>
        <w:rPr>
          <w:rFonts w:ascii="GHEA Grapalat" w:hAnsi="GHEA Grapalat"/>
          <w:sz w:val="24"/>
          <w:szCs w:val="24"/>
        </w:rPr>
      </w:pPr>
    </w:p>
    <w:p w:rsidR="001B2407" w:rsidRPr="007C1F08" w:rsidRDefault="007C1F08" w:rsidP="00CE7B41">
      <w:pPr>
        <w:pStyle w:val="a0"/>
        <w:shd w:val="clear" w:color="auto" w:fill="auto"/>
        <w:tabs>
          <w:tab w:val="left" w:pos="1084"/>
        </w:tabs>
        <w:spacing w:before="0" w:after="120" w:line="240" w:lineRule="auto"/>
        <w:ind w:right="-1" w:firstLine="567"/>
        <w:rPr>
          <w:rFonts w:ascii="GHEA Grapalat" w:hAnsi="GHEA Grapalat"/>
          <w:sz w:val="24"/>
          <w:szCs w:val="24"/>
        </w:rPr>
      </w:pPr>
      <w:r w:rsidRPr="007C1F08">
        <w:rPr>
          <w:rFonts w:ascii="GHEA Grapalat" w:hAnsi="GHEA Grapalat"/>
          <w:sz w:val="24"/>
          <w:szCs w:val="24"/>
        </w:rPr>
        <w:t>1.</w:t>
      </w:r>
      <w:r w:rsidRPr="007C1F08">
        <w:rPr>
          <w:rFonts w:ascii="GHEA Grapalat" w:hAnsi="GHEA Grapalat"/>
          <w:sz w:val="24"/>
          <w:szCs w:val="24"/>
        </w:rPr>
        <w:tab/>
      </w:r>
      <w:r w:rsidR="00DE6235" w:rsidRPr="007C1F08">
        <w:rPr>
          <w:rFonts w:ascii="GHEA Grapalat" w:hAnsi="GHEA Grapalat"/>
          <w:sz w:val="24"/>
          <w:szCs w:val="24"/>
        </w:rPr>
        <w:t>Настоящий Порядок разработан в соответствии с пунктом 4 Протокола о проведении согласованной макроэкономической политики</w:t>
      </w:r>
      <w:r>
        <w:rPr>
          <w:rFonts w:ascii="GHEA Grapalat" w:hAnsi="GHEA Grapalat"/>
          <w:sz w:val="24"/>
          <w:szCs w:val="24"/>
        </w:rPr>
        <w:t xml:space="preserve"> </w:t>
      </w:r>
      <w:r w:rsidR="00DE6235" w:rsidRPr="007C1F08">
        <w:rPr>
          <w:rFonts w:ascii="GHEA Grapalat" w:hAnsi="GHEA Grapalat"/>
          <w:sz w:val="24"/>
          <w:szCs w:val="24"/>
        </w:rPr>
        <w:t>(приложение № 14 к Договору о Евразийском экономическом союзе от 29 мая 2014 года) в целях обеспечения эффективного взаимодействия между уполномоченными органами государств - членов Евразийского экономического союза (далее - государства-члены) и Евразийской экономической комиссией (далее - Комиссия) посредством обмена информацией в целях проведения согласованной макроэкономической политики и определяет последовательность действий Комиссии и уполномоченных органов государств-членов.</w:t>
      </w:r>
    </w:p>
    <w:p w:rsidR="001B2407" w:rsidRPr="007C1F08" w:rsidRDefault="007C1F08" w:rsidP="00CE7B41">
      <w:pPr>
        <w:pStyle w:val="a0"/>
        <w:shd w:val="clear" w:color="auto" w:fill="auto"/>
        <w:tabs>
          <w:tab w:val="left" w:pos="1090"/>
        </w:tabs>
        <w:spacing w:before="0" w:after="120" w:line="240" w:lineRule="auto"/>
        <w:ind w:right="-1" w:firstLine="567"/>
        <w:rPr>
          <w:rFonts w:ascii="GHEA Grapalat" w:hAnsi="GHEA Grapalat"/>
          <w:sz w:val="24"/>
          <w:szCs w:val="24"/>
        </w:rPr>
      </w:pPr>
      <w:r w:rsidRPr="007C1F08">
        <w:rPr>
          <w:rFonts w:ascii="GHEA Grapalat" w:hAnsi="GHEA Grapalat"/>
          <w:sz w:val="24"/>
          <w:szCs w:val="24"/>
        </w:rPr>
        <w:lastRenderedPageBreak/>
        <w:t>2.</w:t>
      </w:r>
      <w:r w:rsidRPr="007C1F08">
        <w:rPr>
          <w:rFonts w:ascii="GHEA Grapalat" w:hAnsi="GHEA Grapalat"/>
          <w:sz w:val="24"/>
          <w:szCs w:val="24"/>
        </w:rPr>
        <w:tab/>
      </w:r>
      <w:r w:rsidR="00DE6235" w:rsidRPr="007C1F08">
        <w:rPr>
          <w:rFonts w:ascii="GHEA Grapalat" w:hAnsi="GHEA Grapalat"/>
          <w:sz w:val="24"/>
          <w:szCs w:val="24"/>
        </w:rPr>
        <w:t>В целях применения настоящего Порядка используются следующие основные понятия:</w:t>
      </w:r>
    </w:p>
    <w:p w:rsidR="001B2407" w:rsidRPr="007C1F08" w:rsidRDefault="00DE6235" w:rsidP="00CE7B41">
      <w:pPr>
        <w:pStyle w:val="a0"/>
        <w:shd w:val="clear" w:color="auto" w:fill="auto"/>
        <w:tabs>
          <w:tab w:val="left" w:pos="5220"/>
          <w:tab w:val="left" w:pos="7557"/>
        </w:tabs>
        <w:spacing w:before="0" w:after="120" w:line="240" w:lineRule="auto"/>
        <w:ind w:right="-1" w:firstLine="567"/>
        <w:rPr>
          <w:rFonts w:ascii="GHEA Grapalat" w:hAnsi="GHEA Grapalat"/>
          <w:sz w:val="24"/>
          <w:szCs w:val="24"/>
        </w:rPr>
      </w:pPr>
      <w:r w:rsidRPr="007C1F08">
        <w:rPr>
          <w:rFonts w:ascii="GHEA Grapalat" w:hAnsi="GHEA Grapalat"/>
          <w:sz w:val="24"/>
          <w:szCs w:val="24"/>
        </w:rPr>
        <w:t>«информация» - сведения,</w:t>
      </w:r>
      <w:r w:rsidR="007C1F08" w:rsidRPr="007C1F08">
        <w:rPr>
          <w:rFonts w:ascii="GHEA Grapalat" w:hAnsi="GHEA Grapalat"/>
          <w:sz w:val="24"/>
          <w:szCs w:val="24"/>
        </w:rPr>
        <w:t xml:space="preserve"> </w:t>
      </w:r>
      <w:r w:rsidRPr="007C1F08">
        <w:rPr>
          <w:rFonts w:ascii="GHEA Grapalat" w:hAnsi="GHEA Grapalat"/>
          <w:sz w:val="24"/>
          <w:szCs w:val="24"/>
        </w:rPr>
        <w:t>которыми</w:t>
      </w:r>
      <w:r w:rsidR="007C1F08" w:rsidRPr="007C1F08">
        <w:rPr>
          <w:rFonts w:ascii="GHEA Grapalat" w:hAnsi="GHEA Grapalat"/>
          <w:sz w:val="24"/>
          <w:szCs w:val="24"/>
        </w:rPr>
        <w:t xml:space="preserve"> </w:t>
      </w:r>
      <w:r w:rsidRPr="007C1F08">
        <w:rPr>
          <w:rFonts w:ascii="GHEA Grapalat" w:hAnsi="GHEA Grapalat"/>
          <w:sz w:val="24"/>
          <w:szCs w:val="24"/>
        </w:rPr>
        <w:t>обмениваются</w:t>
      </w:r>
      <w:r w:rsidR="007C1F08">
        <w:rPr>
          <w:rFonts w:ascii="GHEA Grapalat" w:hAnsi="GHEA Grapalat"/>
          <w:sz w:val="24"/>
          <w:szCs w:val="24"/>
        </w:rPr>
        <w:t xml:space="preserve"> </w:t>
      </w:r>
      <w:r w:rsidRPr="007C1F08">
        <w:rPr>
          <w:rFonts w:ascii="GHEA Grapalat" w:hAnsi="GHEA Grapalat"/>
          <w:sz w:val="24"/>
          <w:szCs w:val="24"/>
        </w:rPr>
        <w:t>уполномоченные органы государств-членов и Комиссия в целях реализации настоящего Порядка;</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«уполномоченные органы» - органы исполнительной власти государств-членов, осуществляющие функции по выработке государственной политики и нормативному правовому регулированию в области экономики, финансов и в других сферах и ответственные за формирование и (или) представление информации в Комиссию, а также центральные (национальные) банки государств-членов.</w:t>
      </w:r>
    </w:p>
    <w:p w:rsidR="001B2407" w:rsidRPr="007C1F08" w:rsidRDefault="007C1F08" w:rsidP="00CE7B41">
      <w:pPr>
        <w:pStyle w:val="a0"/>
        <w:shd w:val="clear" w:color="auto" w:fill="auto"/>
        <w:tabs>
          <w:tab w:val="left" w:pos="1090"/>
        </w:tabs>
        <w:spacing w:before="0" w:after="120" w:line="240" w:lineRule="auto"/>
        <w:ind w:right="-1" w:firstLine="567"/>
        <w:rPr>
          <w:rFonts w:ascii="GHEA Grapalat" w:hAnsi="GHEA Grapalat"/>
          <w:sz w:val="24"/>
          <w:szCs w:val="24"/>
        </w:rPr>
      </w:pPr>
      <w:r w:rsidRPr="007C1F08">
        <w:rPr>
          <w:rFonts w:ascii="GHEA Grapalat" w:hAnsi="GHEA Grapalat"/>
          <w:sz w:val="24"/>
          <w:szCs w:val="24"/>
        </w:rPr>
        <w:t>3.</w:t>
      </w:r>
      <w:r w:rsidRPr="007C1F08">
        <w:rPr>
          <w:rFonts w:ascii="GHEA Grapalat" w:hAnsi="GHEA Grapalat"/>
          <w:sz w:val="24"/>
          <w:szCs w:val="24"/>
        </w:rPr>
        <w:tab/>
      </w:r>
      <w:r w:rsidR="00DE6235" w:rsidRPr="007C1F08">
        <w:rPr>
          <w:rFonts w:ascii="GHEA Grapalat" w:hAnsi="GHEA Grapalat"/>
          <w:sz w:val="24"/>
          <w:szCs w:val="24"/>
        </w:rPr>
        <w:t>Уполномоченные органы представляют в Комиссию следующую информацию:</w:t>
      </w:r>
    </w:p>
    <w:p w:rsidR="001B2407" w:rsidRPr="007C1F08" w:rsidRDefault="00DE6235" w:rsidP="00CE7B41">
      <w:pPr>
        <w:pStyle w:val="a0"/>
        <w:shd w:val="clear" w:color="auto" w:fill="auto"/>
        <w:tabs>
          <w:tab w:val="right" w:pos="7110"/>
          <w:tab w:val="right" w:pos="9382"/>
        </w:tabs>
        <w:spacing w:before="0" w:after="120" w:line="240" w:lineRule="auto"/>
        <w:ind w:right="-1" w:firstLine="567"/>
        <w:rPr>
          <w:rFonts w:ascii="GHEA Grapalat" w:hAnsi="GHEA Grapalat"/>
          <w:sz w:val="24"/>
          <w:szCs w:val="24"/>
        </w:rPr>
      </w:pPr>
      <w:r w:rsidRPr="007C1F08">
        <w:rPr>
          <w:rFonts w:ascii="GHEA Grapalat" w:hAnsi="GHEA Grapalat"/>
          <w:sz w:val="24"/>
          <w:szCs w:val="24"/>
        </w:rPr>
        <w:t>а) показатели</w:t>
      </w:r>
      <w:r w:rsidR="007C1F08" w:rsidRPr="007C1F08">
        <w:rPr>
          <w:rFonts w:ascii="GHEA Grapalat" w:hAnsi="GHEA Grapalat"/>
          <w:sz w:val="24"/>
          <w:szCs w:val="24"/>
        </w:rPr>
        <w:t xml:space="preserve"> </w:t>
      </w:r>
      <w:r w:rsidRPr="007C1F08">
        <w:rPr>
          <w:rFonts w:ascii="GHEA Grapalat" w:hAnsi="GHEA Grapalat"/>
          <w:sz w:val="24"/>
          <w:szCs w:val="24"/>
        </w:rPr>
        <w:t>социально-экономического</w:t>
      </w:r>
      <w:r w:rsidR="007C1F08" w:rsidRPr="007C1F08">
        <w:rPr>
          <w:rFonts w:ascii="GHEA Grapalat" w:hAnsi="GHEA Grapalat"/>
          <w:sz w:val="24"/>
          <w:szCs w:val="24"/>
        </w:rPr>
        <w:t xml:space="preserve"> </w:t>
      </w:r>
      <w:r w:rsidRPr="007C1F08">
        <w:rPr>
          <w:rFonts w:ascii="GHEA Grapalat" w:hAnsi="GHEA Grapalat"/>
          <w:sz w:val="24"/>
          <w:szCs w:val="24"/>
        </w:rPr>
        <w:t>развития</w:t>
      </w:r>
      <w:r w:rsidR="007C1F08">
        <w:rPr>
          <w:rFonts w:ascii="GHEA Grapalat" w:hAnsi="GHEA Grapalat"/>
          <w:sz w:val="24"/>
          <w:szCs w:val="24"/>
        </w:rPr>
        <w:t xml:space="preserve"> </w:t>
      </w:r>
      <w:r w:rsidRPr="007C1F08">
        <w:rPr>
          <w:rFonts w:ascii="GHEA Grapalat" w:hAnsi="GHEA Grapalat"/>
          <w:sz w:val="24"/>
          <w:szCs w:val="24"/>
        </w:rPr>
        <w:t>государств-членов (представляются в соответствии с Протоколом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макроэкономические показатели, определяющие устойчивость экономического развития:</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годовой дефицит консолидированного бюджета сектора государственного управления (в процентах к валовому внутреннему продукту);</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долг сектора государственного управления (в процентах к валовому внутреннему продукту);</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уровень инфляции (индекс потребительских цен) в годовом выражении (декабрь к декабрю предыдущего года, в процентах);</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макроэкономические показатели, определяющие уровень и динамику развития экономики:</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темпы роста валового внутреннего продукта (в процентах к предыдущему году) (рассчитываются как индекс физического объема валового внутреннего продукта);</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валовой внутренний продукт на душу населения по паритету покупательной способности (в тыс. долларов США) (информация по данному показателю формируется Комиссией на основе данных Всемирного банка, для расчета данного показателя по Российской Федерации используются данные, опубликованные на официальном сайте в информационно-телекоммуникационной сети «Интернет» (далее - сеть Интернет) Федеральной службы государственной статистики и согласованные с Организацией экономического сотрудничества и развития (ОЭСР));</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 xml:space="preserve">сальдо счета текущих операций платежного баланса (в млн. долларов США и </w:t>
      </w:r>
      <w:r w:rsidRPr="007C1F08">
        <w:rPr>
          <w:rStyle w:val="a1"/>
          <w:rFonts w:ascii="GHEA Grapalat" w:hAnsi="GHEA Grapalat"/>
          <w:sz w:val="24"/>
          <w:szCs w:val="24"/>
        </w:rPr>
        <w:lastRenderedPageBreak/>
        <w:t>в процентах к валовому внутреннему продукту);</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1"/>
          <w:rFonts w:ascii="GHEA Grapalat" w:hAnsi="GHEA Grapalat"/>
          <w:sz w:val="24"/>
          <w:szCs w:val="24"/>
        </w:rPr>
        <w:t>индекс реального эффективного обменного курса национальной валюты (в среднегодовом выражении и декабрь к декабрю предыдущего года, в процентах) (для Республики Беларусь и Российской</w:t>
      </w:r>
      <w:r w:rsidR="007C1F08">
        <w:rPr>
          <w:rStyle w:val="a1"/>
          <w:rFonts w:ascii="GHEA Grapalat" w:hAnsi="GHEA Grapalat"/>
          <w:sz w:val="24"/>
          <w:szCs w:val="24"/>
        </w:rPr>
        <w:t xml:space="preserve"> </w:t>
      </w:r>
      <w:r w:rsidRPr="007C1F08">
        <w:rPr>
          <w:rFonts w:ascii="GHEA Grapalat" w:hAnsi="GHEA Grapalat"/>
          <w:sz w:val="24"/>
          <w:szCs w:val="24"/>
        </w:rPr>
        <w:t>Федерации - индекс реального эффективного курса национальной валюты);</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макроэкономические показатели, определяющие степень интеграции:</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объем национальных инвестиций, направленных в экономику каждого государства-члена, в том числе прямых инвестиций (в млн. долларов США);</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объем инвестиций, поступивших в национальную экономику от каждого государства-члена, в том числе прямых инвестиций (в млн. долларов США);</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доля каждого государства-члена в общем объеме экспорта, импорта и внешнеторгового оборота государств-членов (в процентах) (рассчитывается Комиссией);</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б) прогнозы (программы) социально-экономического развития на среднесрочный период (представляются ежегодно), в том числе:</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материалы первого этапа разработки прогнозов социально- экономического развития (для Республики Армения - проект прогноза социально-экономического развития Республики Армения на среднесрочную перспективу, для Республики Беларусь - проект прогноза социально-экономического развития Республики Беларусь на краткосрочную перспективу, для Республики Казахстан - проект прогноза социально-экономического развития Республики Казахстан на 5-летний период, для Российской Федерации - сценарные условия функционирования экономики Российской Федерации и основные параметры прогноза социально-экономического развития Российской Федерации на очередной финансовый год и плановый период) - в течение 5 рабочих дней с даты их утверждения (одобрения));</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материалы второго этапа разработки прогнозов социально- экономического развития (для Республики Армения - прогноз социально-экономического развития Республики Армения на очередной финансовый год, для Республики Беларусь - прогноз социально- экономического развития Республики Беларусь на краткосрочную перспективу, для Республики Казахстан - прогноз социально- экономического развития Республики Казахстан на 5-летний период, для Российской Федерации - прогноз социально-экономического развития Российской Федерации на очередной финансовый год и плановый период) - в течение 5 рабочих дней с даты их утверждения (одобрения));</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в)</w:t>
      </w:r>
      <w:r w:rsidRPr="007C1F08">
        <w:rPr>
          <w:rFonts w:ascii="GHEA Grapalat" w:hAnsi="GHEA Grapalat"/>
          <w:sz w:val="24"/>
          <w:szCs w:val="24"/>
        </w:rPr>
        <w:tab/>
        <w:t>долгосрочные (свыше 5 лет) программы (планы, стратегии, концепции) социально-экономического развития, планы (концепции, стратегии) действий и мер в сфере экономического развития и макроэкономической политики (представляются в течение 7 рабочих дней с даты их утверждения (одобрения, принятия));</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lastRenderedPageBreak/>
        <w:t>г)</w:t>
      </w:r>
      <w:r w:rsidRPr="007C1F08">
        <w:rPr>
          <w:rFonts w:ascii="GHEA Grapalat" w:hAnsi="GHEA Grapalat"/>
          <w:sz w:val="24"/>
          <w:szCs w:val="24"/>
        </w:rPr>
        <w:tab/>
        <w:t>основные нормативные правовые акты в сфере разработки и реализации макроэкономической политики, бюджетной, налоговой и денежно-кредитной политики, а также акты, направленные на стабилизацию экономической ситуации и повышение устойчивости экономического развития (представляются в течение 7 рабочих дней с даты их утверждения (одобрения, принятия));</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д)</w:t>
      </w:r>
      <w:r w:rsidRPr="007C1F08">
        <w:rPr>
          <w:rFonts w:ascii="GHEA Grapalat" w:hAnsi="GHEA Grapalat"/>
          <w:sz w:val="24"/>
          <w:szCs w:val="24"/>
        </w:rPr>
        <w:tab/>
        <w:t>иная информация (представляется на разовой или периодической основе по оперативным запросам Комиссии).</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4. Уполномоченные органы самостоятельно определяют перечень и состав информации, предоставляемой в соответствии с подпунктами «в» и «г» пункта 3 настоящего Порядка.</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Информация, указанная в подпунктах «б» - «д» пункта 3 настоящего Порядка, направляется в электронном виде на официальный адрес электронной почты Департамента макроэкономической политики</w:t>
      </w:r>
      <w:r w:rsidR="007C1F08">
        <w:rPr>
          <w:rFonts w:ascii="GHEA Grapalat" w:hAnsi="GHEA Grapalat"/>
          <w:sz w:val="24"/>
          <w:szCs w:val="24"/>
        </w:rPr>
        <w:t xml:space="preserve"> </w:t>
      </w:r>
      <w:r w:rsidRPr="007C1F08">
        <w:rPr>
          <w:rFonts w:ascii="GHEA Grapalat" w:hAnsi="GHEA Grapalat"/>
          <w:sz w:val="24"/>
          <w:szCs w:val="24"/>
        </w:rPr>
        <w:t xml:space="preserve">Комиссии </w:t>
      </w:r>
      <w:hyperlink r:id="rId8" w:history="1">
        <w:r w:rsidRPr="007C1F08">
          <w:rPr>
            <w:rStyle w:val="Hyperlink"/>
            <w:rFonts w:ascii="GHEA Grapalat" w:hAnsi="GHEA Grapalat"/>
            <w:sz w:val="24"/>
            <w:szCs w:val="24"/>
            <w:lang w:val="en-US"/>
          </w:rPr>
          <w:t>dmp</w:t>
        </w:r>
        <w:r w:rsidRPr="007C1F08">
          <w:rPr>
            <w:rStyle w:val="Hyperlink"/>
            <w:rFonts w:ascii="GHEA Grapalat" w:hAnsi="GHEA Grapalat"/>
            <w:sz w:val="24"/>
            <w:szCs w:val="24"/>
          </w:rPr>
          <w:t>@</w:t>
        </w:r>
        <w:r w:rsidRPr="007C1F08">
          <w:rPr>
            <w:rStyle w:val="Hyperlink"/>
            <w:rFonts w:ascii="GHEA Grapalat" w:hAnsi="GHEA Grapalat"/>
            <w:sz w:val="24"/>
            <w:szCs w:val="24"/>
            <w:lang w:val="en-US"/>
          </w:rPr>
          <w:t>eecommission</w:t>
        </w:r>
        <w:r w:rsidRPr="007C1F08">
          <w:rPr>
            <w:rStyle w:val="Hyperlink"/>
            <w:rFonts w:ascii="GHEA Grapalat" w:hAnsi="GHEA Grapalat"/>
            <w:sz w:val="24"/>
            <w:szCs w:val="24"/>
          </w:rPr>
          <w:t>.</w:t>
        </w:r>
        <w:r w:rsidRPr="007C1F08">
          <w:rPr>
            <w:rStyle w:val="Hyperlink"/>
            <w:rFonts w:ascii="GHEA Grapalat" w:hAnsi="GHEA Grapalat"/>
            <w:sz w:val="24"/>
            <w:szCs w:val="24"/>
            <w:lang w:val="en-US"/>
          </w:rPr>
          <w:t>org</w:t>
        </w:r>
      </w:hyperlink>
      <w:r w:rsidRPr="007C1F08">
        <w:rPr>
          <w:rFonts w:ascii="GHEA Grapalat" w:hAnsi="GHEA Grapalat"/>
          <w:sz w:val="24"/>
          <w:szCs w:val="24"/>
        </w:rPr>
        <w:t>. Если данная информация размещена государством-членом в открытом доступе на официальных сайтах в сети Интернет, то по электронной почте вместо указанной информации может направляться ссылка на источник опубликования.</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5. На основе полученной информации Комиссия готовит следующие документы и материалы:</w:t>
      </w:r>
    </w:p>
    <w:p w:rsidR="001B2407" w:rsidRPr="007C1F08" w:rsidRDefault="00DE6235" w:rsidP="00CE7B41">
      <w:pPr>
        <w:pStyle w:val="a0"/>
        <w:shd w:val="clear" w:color="auto" w:fill="auto"/>
        <w:tabs>
          <w:tab w:val="left" w:pos="1103"/>
        </w:tabs>
        <w:spacing w:before="0" w:after="120" w:line="240" w:lineRule="auto"/>
        <w:ind w:right="-1" w:firstLine="567"/>
        <w:rPr>
          <w:rFonts w:ascii="GHEA Grapalat" w:hAnsi="GHEA Grapalat"/>
          <w:sz w:val="24"/>
          <w:szCs w:val="24"/>
        </w:rPr>
      </w:pPr>
      <w:r w:rsidRPr="007C1F08">
        <w:rPr>
          <w:rFonts w:ascii="GHEA Grapalat" w:hAnsi="GHEA Grapalat"/>
          <w:sz w:val="24"/>
          <w:szCs w:val="24"/>
        </w:rPr>
        <w:t>а)</w:t>
      </w:r>
      <w:r w:rsidRPr="007C1F08">
        <w:rPr>
          <w:rFonts w:ascii="GHEA Grapalat" w:hAnsi="GHEA Grapalat"/>
          <w:sz w:val="24"/>
          <w:szCs w:val="24"/>
        </w:rPr>
        <w:tab/>
        <w:t>информация об анализе социально-экономического развития государств-членов - ежеквартально, в течение 30 календарных дней с даты получения информации о показателях социально-экономического развития государств-членов;</w:t>
      </w:r>
    </w:p>
    <w:p w:rsidR="001B2407" w:rsidRPr="007C1F08" w:rsidRDefault="00DE6235" w:rsidP="00CE7B41">
      <w:pPr>
        <w:pStyle w:val="a0"/>
        <w:shd w:val="clear" w:color="auto" w:fill="auto"/>
        <w:tabs>
          <w:tab w:val="left" w:pos="1103"/>
        </w:tabs>
        <w:spacing w:before="0" w:after="120" w:line="240" w:lineRule="auto"/>
        <w:ind w:right="-1" w:firstLine="567"/>
        <w:rPr>
          <w:rFonts w:ascii="GHEA Grapalat" w:hAnsi="GHEA Grapalat"/>
          <w:sz w:val="24"/>
          <w:szCs w:val="24"/>
        </w:rPr>
      </w:pPr>
      <w:r w:rsidRPr="007C1F08">
        <w:rPr>
          <w:rFonts w:ascii="GHEA Grapalat" w:hAnsi="GHEA Grapalat"/>
          <w:sz w:val="24"/>
          <w:szCs w:val="24"/>
        </w:rPr>
        <w:t>б)</w:t>
      </w:r>
      <w:r w:rsidRPr="007C1F08">
        <w:rPr>
          <w:rFonts w:ascii="GHEA Grapalat" w:hAnsi="GHEA Grapalat"/>
          <w:sz w:val="24"/>
          <w:szCs w:val="24"/>
        </w:rPr>
        <w:tab/>
        <w:t>информация о мониторинге состояния макроэкономических</w:t>
      </w:r>
      <w:r w:rsidR="007C1F08">
        <w:rPr>
          <w:rFonts w:ascii="GHEA Grapalat" w:hAnsi="GHEA Grapalat"/>
          <w:sz w:val="24"/>
          <w:szCs w:val="24"/>
        </w:rPr>
        <w:t xml:space="preserve"> </w:t>
      </w:r>
      <w:r w:rsidRPr="007C1F08">
        <w:rPr>
          <w:rFonts w:ascii="GHEA Grapalat" w:hAnsi="GHEA Grapalat"/>
          <w:sz w:val="24"/>
          <w:szCs w:val="24"/>
        </w:rPr>
        <w:t>показателей, определяющих устойчивость экономического развития государств-членов, - ежеквартально, в течение 30 календарных дней с даты получения информации о макроэкономических показателях, определяющих устойчивость экономического</w:t>
      </w:r>
      <w:r w:rsidR="007C1F08" w:rsidRPr="007C1F08">
        <w:rPr>
          <w:rFonts w:ascii="GHEA Grapalat" w:hAnsi="GHEA Grapalat"/>
          <w:sz w:val="24"/>
          <w:szCs w:val="24"/>
        </w:rPr>
        <w:t xml:space="preserve"> </w:t>
      </w:r>
      <w:r w:rsidRPr="007C1F08">
        <w:rPr>
          <w:rFonts w:ascii="GHEA Grapalat" w:hAnsi="GHEA Grapalat"/>
          <w:sz w:val="24"/>
          <w:szCs w:val="24"/>
        </w:rPr>
        <w:t>развития</w:t>
      </w:r>
      <w:r w:rsidR="007C1F08">
        <w:rPr>
          <w:rFonts w:ascii="GHEA Grapalat" w:hAnsi="GHEA Grapalat"/>
          <w:sz w:val="24"/>
          <w:szCs w:val="24"/>
        </w:rPr>
        <w:t xml:space="preserve"> </w:t>
      </w:r>
      <w:r w:rsidRPr="007C1F08">
        <w:rPr>
          <w:rFonts w:ascii="GHEA Grapalat" w:hAnsi="GHEA Grapalat"/>
          <w:sz w:val="24"/>
          <w:szCs w:val="24"/>
        </w:rPr>
        <w:t>государств-членов, а также ежегодно, к 1 апреля;</w:t>
      </w:r>
    </w:p>
    <w:p w:rsidR="001B2407" w:rsidRPr="007C1F08" w:rsidRDefault="00DE6235" w:rsidP="00CE7B41">
      <w:pPr>
        <w:pStyle w:val="a0"/>
        <w:shd w:val="clear" w:color="auto" w:fill="auto"/>
        <w:tabs>
          <w:tab w:val="left" w:pos="1103"/>
        </w:tabs>
        <w:spacing w:before="0" w:after="120" w:line="240" w:lineRule="auto"/>
        <w:ind w:right="-1" w:firstLine="567"/>
        <w:rPr>
          <w:rFonts w:ascii="GHEA Grapalat" w:hAnsi="GHEA Grapalat"/>
          <w:sz w:val="24"/>
          <w:szCs w:val="24"/>
        </w:rPr>
      </w:pPr>
      <w:r w:rsidRPr="007C1F08">
        <w:rPr>
          <w:rFonts w:ascii="GHEA Grapalat" w:hAnsi="GHEA Grapalat"/>
          <w:sz w:val="24"/>
          <w:szCs w:val="24"/>
        </w:rPr>
        <w:t>в)</w:t>
      </w:r>
      <w:r w:rsidRPr="007C1F08">
        <w:rPr>
          <w:rFonts w:ascii="GHEA Grapalat" w:hAnsi="GHEA Grapalat"/>
          <w:sz w:val="24"/>
          <w:szCs w:val="24"/>
        </w:rPr>
        <w:tab/>
        <w:t>ежегодно, к 1 апреля, - доклад об итогах и перспективах</w:t>
      </w:r>
      <w:r w:rsidR="007C1F08">
        <w:rPr>
          <w:rFonts w:ascii="GHEA Grapalat" w:hAnsi="GHEA Grapalat"/>
          <w:sz w:val="24"/>
          <w:szCs w:val="24"/>
        </w:rPr>
        <w:t xml:space="preserve"> </w:t>
      </w:r>
      <w:r w:rsidRPr="007C1F08">
        <w:rPr>
          <w:rFonts w:ascii="GHEA Grapalat" w:hAnsi="GHEA Grapalat"/>
          <w:sz w:val="24"/>
          <w:szCs w:val="24"/>
        </w:rPr>
        <w:t>социально-экономического развития государств-членов и мерах, предпринимаемых</w:t>
      </w:r>
      <w:r w:rsidR="007C1F08" w:rsidRPr="007C1F08">
        <w:rPr>
          <w:rFonts w:ascii="GHEA Grapalat" w:hAnsi="GHEA Grapalat"/>
          <w:sz w:val="24"/>
          <w:szCs w:val="24"/>
        </w:rPr>
        <w:t xml:space="preserve"> </w:t>
      </w:r>
      <w:r w:rsidRPr="007C1F08">
        <w:rPr>
          <w:rFonts w:ascii="GHEA Grapalat" w:hAnsi="GHEA Grapalat"/>
          <w:sz w:val="24"/>
          <w:szCs w:val="24"/>
        </w:rPr>
        <w:t>государствами-членами</w:t>
      </w:r>
      <w:r w:rsidR="007C1F08" w:rsidRPr="007C1F08">
        <w:rPr>
          <w:rFonts w:ascii="GHEA Grapalat" w:hAnsi="GHEA Grapalat"/>
          <w:sz w:val="24"/>
          <w:szCs w:val="24"/>
        </w:rPr>
        <w:t xml:space="preserve"> </w:t>
      </w:r>
      <w:r w:rsidRPr="007C1F08">
        <w:rPr>
          <w:rFonts w:ascii="GHEA Grapalat" w:hAnsi="GHEA Grapalat"/>
          <w:sz w:val="24"/>
          <w:szCs w:val="24"/>
        </w:rPr>
        <w:t>в</w:t>
      </w:r>
      <w:r w:rsidR="007C1F08" w:rsidRPr="007C1F08">
        <w:rPr>
          <w:rFonts w:ascii="GHEA Grapalat" w:hAnsi="GHEA Grapalat"/>
          <w:sz w:val="24"/>
          <w:szCs w:val="24"/>
        </w:rPr>
        <w:t xml:space="preserve"> </w:t>
      </w:r>
      <w:r w:rsidRPr="007C1F08">
        <w:rPr>
          <w:rFonts w:ascii="GHEA Grapalat" w:hAnsi="GHEA Grapalat"/>
          <w:sz w:val="24"/>
          <w:szCs w:val="24"/>
        </w:rPr>
        <w:t>области</w:t>
      </w:r>
      <w:r w:rsidR="007C1F08">
        <w:rPr>
          <w:rFonts w:ascii="GHEA Grapalat" w:hAnsi="GHEA Grapalat"/>
          <w:sz w:val="24"/>
          <w:szCs w:val="24"/>
        </w:rPr>
        <w:t xml:space="preserve"> </w:t>
      </w:r>
      <w:r w:rsidRPr="007C1F08">
        <w:rPr>
          <w:rFonts w:ascii="GHEA Grapalat" w:hAnsi="GHEA Grapalat"/>
          <w:sz w:val="24"/>
          <w:szCs w:val="24"/>
        </w:rPr>
        <w:t>макроэкономической политики, который после согласования с государствами-членами вносится на рассмотрение Коллегии Комиссии и включает в том числе:</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итоги социально-экономического развития государств-членов (ключевые тенденции социально-экономического развития государств-членов и анализ мер в области макроэкономической политики, предпринимаемых государствами-членами);</w:t>
      </w:r>
    </w:p>
    <w:p w:rsidR="001B2407" w:rsidRPr="007C1F08" w:rsidRDefault="00DE6235" w:rsidP="00CE7B41">
      <w:pPr>
        <w:pStyle w:val="a0"/>
        <w:shd w:val="clear" w:color="auto" w:fill="auto"/>
        <w:tabs>
          <w:tab w:val="left" w:pos="3602"/>
          <w:tab w:val="right" w:pos="9434"/>
        </w:tabs>
        <w:spacing w:before="0" w:after="120" w:line="240" w:lineRule="auto"/>
        <w:ind w:right="-1" w:firstLine="567"/>
        <w:rPr>
          <w:rFonts w:ascii="GHEA Grapalat" w:hAnsi="GHEA Grapalat"/>
          <w:sz w:val="24"/>
          <w:szCs w:val="24"/>
        </w:rPr>
      </w:pPr>
      <w:r w:rsidRPr="007C1F08">
        <w:rPr>
          <w:rFonts w:ascii="GHEA Grapalat" w:hAnsi="GHEA Grapalat"/>
          <w:sz w:val="24"/>
          <w:szCs w:val="24"/>
        </w:rPr>
        <w:t>перспективы</w:t>
      </w:r>
      <w:r w:rsidR="007C1F08" w:rsidRPr="007C1F08">
        <w:rPr>
          <w:rFonts w:ascii="GHEA Grapalat" w:hAnsi="GHEA Grapalat"/>
          <w:sz w:val="24"/>
          <w:szCs w:val="24"/>
        </w:rPr>
        <w:t xml:space="preserve"> </w:t>
      </w:r>
      <w:r w:rsidRPr="007C1F08">
        <w:rPr>
          <w:rFonts w:ascii="GHEA Grapalat" w:hAnsi="GHEA Grapalat"/>
          <w:sz w:val="24"/>
          <w:szCs w:val="24"/>
        </w:rPr>
        <w:t>социально-экономического</w:t>
      </w:r>
      <w:r w:rsidR="007C1F08" w:rsidRPr="007C1F08">
        <w:rPr>
          <w:rFonts w:ascii="GHEA Grapalat" w:hAnsi="GHEA Grapalat"/>
          <w:sz w:val="24"/>
          <w:szCs w:val="24"/>
        </w:rPr>
        <w:t xml:space="preserve"> </w:t>
      </w:r>
      <w:r w:rsidRPr="007C1F08">
        <w:rPr>
          <w:rFonts w:ascii="GHEA Grapalat" w:hAnsi="GHEA Grapalat"/>
          <w:sz w:val="24"/>
          <w:szCs w:val="24"/>
        </w:rPr>
        <w:t>развития</w:t>
      </w:r>
      <w:r w:rsidR="007C1F08">
        <w:rPr>
          <w:rFonts w:ascii="GHEA Grapalat" w:hAnsi="GHEA Grapalat"/>
          <w:sz w:val="24"/>
          <w:szCs w:val="24"/>
        </w:rPr>
        <w:t xml:space="preserve"> </w:t>
      </w:r>
      <w:r w:rsidRPr="007C1F08">
        <w:rPr>
          <w:rFonts w:ascii="GHEA Grapalat" w:hAnsi="GHEA Grapalat"/>
          <w:sz w:val="24"/>
          <w:szCs w:val="24"/>
        </w:rPr>
        <w:t>государств-членов (макроэкономические риски для государств-членов, прогнозы социально-</w:t>
      </w:r>
      <w:r w:rsidRPr="007C1F08">
        <w:rPr>
          <w:rFonts w:ascii="GHEA Grapalat" w:hAnsi="GHEA Grapalat"/>
          <w:sz w:val="24"/>
          <w:szCs w:val="24"/>
        </w:rPr>
        <w:lastRenderedPageBreak/>
        <w:t>экономического развития государств-членов</w:t>
      </w:r>
      <w:r w:rsidR="007C1F08">
        <w:rPr>
          <w:rFonts w:ascii="GHEA Grapalat" w:hAnsi="GHEA Grapalat"/>
          <w:sz w:val="24"/>
          <w:szCs w:val="24"/>
        </w:rPr>
        <w:t xml:space="preserve"> </w:t>
      </w:r>
      <w:r w:rsidRPr="007C1F08">
        <w:rPr>
          <w:rFonts w:ascii="GHEA Grapalat" w:hAnsi="GHEA Grapalat"/>
          <w:sz w:val="24"/>
          <w:szCs w:val="24"/>
        </w:rPr>
        <w:t>и прогноз социально-экономического развития Евразийского экономического союза в целом);</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Fonts w:ascii="GHEA Grapalat" w:hAnsi="GHEA Grapalat"/>
          <w:sz w:val="24"/>
          <w:szCs w:val="24"/>
        </w:rPr>
        <w:t>приоритеты реализации макроэкономической политики (приоритеты социально-экономического развития государств-членов на текущий год и анализ национальных мер структурной политики, направленных на экономическое развитие государств-членов);</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г)</w:t>
      </w:r>
      <w:r w:rsidRPr="007C1F08">
        <w:rPr>
          <w:rFonts w:ascii="GHEA Grapalat" w:hAnsi="GHEA Grapalat"/>
          <w:sz w:val="24"/>
          <w:szCs w:val="24"/>
        </w:rPr>
        <w:tab/>
        <w:t>предложения по совместным мерам, направленным на стабилизацию экономической ситуации и повышение устойчивости экономического развития государств-членов (разрабатываются в случае превышения государствами-членами количественных значений макроэкономических показателей, определяющих устойчивость экономического развития, в соответствии с Порядком разработки и принятия мер, направленных на стабилизацию экономической ситуации в случае превышения государствами - членами Таможенного союза и Единого экономического пространства количественных значений макроэкономических показателей, определяющих устойчивость экономического развития, утвержденным Решением Коллегии Евразийской экономической комиссии от 25 июня 2014 г. № 93);</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д)</w:t>
      </w:r>
      <w:r w:rsidRPr="007C1F08">
        <w:rPr>
          <w:rFonts w:ascii="GHEA Grapalat" w:hAnsi="GHEA Grapalat"/>
          <w:sz w:val="24"/>
          <w:szCs w:val="24"/>
        </w:rPr>
        <w:tab/>
        <w:t>основные направления экономического развития Евразийского экономического союза;</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е)</w:t>
      </w:r>
      <w:r w:rsidRPr="007C1F08">
        <w:rPr>
          <w:rFonts w:ascii="GHEA Grapalat" w:hAnsi="GHEA Grapalat"/>
          <w:sz w:val="24"/>
          <w:szCs w:val="24"/>
        </w:rPr>
        <w:tab/>
        <w:t>основные ориентиры макроэкономической политики государств-членов;</w:t>
      </w:r>
    </w:p>
    <w:p w:rsidR="001B2407" w:rsidRPr="007C1F08" w:rsidRDefault="00DE6235"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ж)</w:t>
      </w:r>
      <w:r w:rsidRPr="007C1F08">
        <w:rPr>
          <w:rFonts w:ascii="GHEA Grapalat" w:hAnsi="GHEA Grapalat"/>
          <w:sz w:val="24"/>
          <w:szCs w:val="24"/>
        </w:rPr>
        <w:tab/>
        <w:t>иные документы, материалы и информация для решения задач в соответствии с полномочиями Комиссии.</w:t>
      </w:r>
    </w:p>
    <w:p w:rsidR="001B2407" w:rsidRPr="007C1F08" w:rsidRDefault="007C1F08"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6.</w:t>
      </w:r>
      <w:r w:rsidRPr="007C1F08">
        <w:rPr>
          <w:rFonts w:ascii="GHEA Grapalat" w:hAnsi="GHEA Grapalat"/>
          <w:sz w:val="24"/>
          <w:szCs w:val="24"/>
        </w:rPr>
        <w:tab/>
      </w:r>
      <w:r w:rsidR="00DE6235" w:rsidRPr="007C1F08">
        <w:rPr>
          <w:rFonts w:ascii="GHEA Grapalat" w:hAnsi="GHEA Grapalat"/>
          <w:sz w:val="24"/>
          <w:szCs w:val="24"/>
        </w:rPr>
        <w:t>Информация, предоставляемая в соответствии с настоящим Порядком, является открытой для государств-членов.</w:t>
      </w:r>
    </w:p>
    <w:p w:rsidR="001B2407" w:rsidRPr="007C1F08" w:rsidRDefault="007C1F08" w:rsidP="00CE7B41">
      <w:pPr>
        <w:pStyle w:val="a0"/>
        <w:shd w:val="clear" w:color="auto" w:fill="auto"/>
        <w:tabs>
          <w:tab w:val="left" w:pos="1119"/>
        </w:tabs>
        <w:spacing w:before="0" w:after="120" w:line="240" w:lineRule="auto"/>
        <w:ind w:right="-1" w:firstLine="567"/>
        <w:rPr>
          <w:rFonts w:ascii="GHEA Grapalat" w:hAnsi="GHEA Grapalat"/>
          <w:sz w:val="24"/>
          <w:szCs w:val="24"/>
        </w:rPr>
      </w:pPr>
      <w:r w:rsidRPr="007C1F08">
        <w:rPr>
          <w:rFonts w:ascii="GHEA Grapalat" w:hAnsi="GHEA Grapalat"/>
          <w:sz w:val="24"/>
          <w:szCs w:val="24"/>
        </w:rPr>
        <w:t>7.</w:t>
      </w:r>
      <w:r w:rsidRPr="007C1F08">
        <w:rPr>
          <w:rFonts w:ascii="GHEA Grapalat" w:hAnsi="GHEA Grapalat"/>
          <w:sz w:val="24"/>
          <w:szCs w:val="24"/>
        </w:rPr>
        <w:tab/>
      </w:r>
      <w:r w:rsidR="00DE6235" w:rsidRPr="007C1F08">
        <w:rPr>
          <w:rFonts w:ascii="GHEA Grapalat" w:hAnsi="GHEA Grapalat"/>
          <w:sz w:val="24"/>
          <w:szCs w:val="24"/>
        </w:rPr>
        <w:t>Документы и материалы, подготовленные Комиссией на основе информации, предоставляемой уполномоченными органами, по согласованию с государствами-членами размещаются на официальном сайте Евразийского экономического союза в сети Интернет.</w:t>
      </w:r>
    </w:p>
    <w:p w:rsidR="001B2407" w:rsidRPr="007C1F08" w:rsidRDefault="00DE6235" w:rsidP="00CE7B41">
      <w:pPr>
        <w:pStyle w:val="a0"/>
        <w:shd w:val="clear" w:color="auto" w:fill="auto"/>
        <w:spacing w:before="0" w:after="120" w:line="240" w:lineRule="auto"/>
        <w:ind w:right="-1" w:firstLine="567"/>
        <w:rPr>
          <w:rFonts w:ascii="GHEA Grapalat" w:hAnsi="GHEA Grapalat"/>
          <w:sz w:val="24"/>
          <w:szCs w:val="24"/>
        </w:rPr>
      </w:pPr>
      <w:r w:rsidRPr="007C1F08">
        <w:rPr>
          <w:rStyle w:val="a2"/>
          <w:rFonts w:ascii="GHEA Grapalat" w:hAnsi="GHEA Grapalat"/>
          <w:sz w:val="24"/>
          <w:szCs w:val="24"/>
        </w:rPr>
        <w:t>8. Комиссия обеспечивает необходимые организационные и технические меры и несет ответственность за хранение и защиту полученной информации от неправомерного или случайного доступа к ней, уничтожения, изменения, неправомочного копирования или распространения.».</w:t>
      </w:r>
    </w:p>
    <w:sectPr w:rsidR="001B2407" w:rsidRPr="007C1F08" w:rsidSect="007C1F08">
      <w:pgSz w:w="11907" w:h="16840" w:code="9"/>
      <w:pgMar w:top="1418" w:right="1418" w:bottom="1418" w:left="1418" w:header="0" w:footer="6"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502" w:rsidRDefault="00A03502" w:rsidP="001B2407">
      <w:r>
        <w:separator/>
      </w:r>
    </w:p>
  </w:endnote>
  <w:endnote w:type="continuationSeparator" w:id="0">
    <w:p w:rsidR="00A03502" w:rsidRDefault="00A03502" w:rsidP="001B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502" w:rsidRDefault="00A03502"/>
  </w:footnote>
  <w:footnote w:type="continuationSeparator" w:id="0">
    <w:p w:rsidR="00A03502" w:rsidRDefault="00A0350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87C"/>
    <w:multiLevelType w:val="multilevel"/>
    <w:tmpl w:val="F9109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0D3A5B"/>
    <w:multiLevelType w:val="multilevel"/>
    <w:tmpl w:val="D1A8A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E2073B"/>
    <w:multiLevelType w:val="multilevel"/>
    <w:tmpl w:val="3C10AE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2CB4F17"/>
    <w:multiLevelType w:val="multilevel"/>
    <w:tmpl w:val="DFD0F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9AD3662"/>
    <w:multiLevelType w:val="multilevel"/>
    <w:tmpl w:val="FEEC66F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1B2407"/>
    <w:rsid w:val="001B2407"/>
    <w:rsid w:val="007C1F08"/>
    <w:rsid w:val="009005B3"/>
    <w:rsid w:val="00A03502"/>
    <w:rsid w:val="00CE7B41"/>
    <w:rsid w:val="00DE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B240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B2407"/>
    <w:rPr>
      <w:color w:val="000080"/>
      <w:u w:val="single"/>
    </w:rPr>
  </w:style>
  <w:style w:type="character" w:customStyle="1" w:styleId="22">
    <w:name w:val="Заголовок №2 (2)_"/>
    <w:basedOn w:val="DefaultParagraphFont"/>
    <w:link w:val="220"/>
    <w:rsid w:val="001B2407"/>
    <w:rPr>
      <w:rFonts w:ascii="Times New Roman" w:eastAsia="Times New Roman" w:hAnsi="Times New Roman" w:cs="Times New Roman"/>
      <w:b/>
      <w:bCs/>
      <w:i w:val="0"/>
      <w:iCs w:val="0"/>
      <w:smallCaps w:val="0"/>
      <w:strike w:val="0"/>
      <w:sz w:val="28"/>
      <w:szCs w:val="28"/>
      <w:u w:val="none"/>
    </w:rPr>
  </w:style>
  <w:style w:type="character" w:customStyle="1" w:styleId="a">
    <w:name w:val="Основной текст_"/>
    <w:basedOn w:val="DefaultParagraphFont"/>
    <w:link w:val="a0"/>
    <w:rsid w:val="001B2407"/>
    <w:rPr>
      <w:rFonts w:ascii="Times New Roman" w:eastAsia="Times New Roman" w:hAnsi="Times New Roman" w:cs="Times New Roman"/>
      <w:b w:val="0"/>
      <w:bCs w:val="0"/>
      <w:i w:val="0"/>
      <w:iCs w:val="0"/>
      <w:smallCaps w:val="0"/>
      <w:strike w:val="0"/>
      <w:sz w:val="28"/>
      <w:szCs w:val="28"/>
      <w:u w:val="none"/>
    </w:rPr>
  </w:style>
  <w:style w:type="character" w:customStyle="1" w:styleId="2pt">
    <w:name w:val="Основной текст + Интервал 2 pt"/>
    <w:basedOn w:val="a"/>
    <w:rsid w:val="001B2407"/>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2">
    <w:name w:val="Основной текст (2)_"/>
    <w:basedOn w:val="DefaultParagraphFont"/>
    <w:link w:val="20"/>
    <w:rsid w:val="001B2407"/>
    <w:rPr>
      <w:rFonts w:ascii="Times New Roman" w:eastAsia="Times New Roman" w:hAnsi="Times New Roman" w:cs="Times New Roman"/>
      <w:b/>
      <w:bCs/>
      <w:i w:val="0"/>
      <w:iCs w:val="0"/>
      <w:smallCaps w:val="0"/>
      <w:strike w:val="0"/>
      <w:sz w:val="28"/>
      <w:szCs w:val="28"/>
      <w:u w:val="none"/>
    </w:rPr>
  </w:style>
  <w:style w:type="character" w:customStyle="1" w:styleId="22pt">
    <w:name w:val="Основной текст (2) + Интервал 2 pt"/>
    <w:basedOn w:val="2"/>
    <w:rsid w:val="001B2407"/>
    <w:rPr>
      <w:rFonts w:ascii="Times New Roman" w:eastAsia="Times New Roman" w:hAnsi="Times New Roman" w:cs="Times New Roman"/>
      <w:b/>
      <w:bCs/>
      <w:i w:val="0"/>
      <w:iCs w:val="0"/>
      <w:smallCaps w:val="0"/>
      <w:strike w:val="0"/>
      <w:color w:val="000000"/>
      <w:spacing w:val="50"/>
      <w:w w:val="100"/>
      <w:position w:val="0"/>
      <w:sz w:val="28"/>
      <w:szCs w:val="28"/>
      <w:u w:val="none"/>
      <w:lang w:val="ru-RU"/>
    </w:rPr>
  </w:style>
  <w:style w:type="character" w:customStyle="1" w:styleId="21">
    <w:name w:val="Заголовок №2_"/>
    <w:basedOn w:val="DefaultParagraphFont"/>
    <w:link w:val="23"/>
    <w:rsid w:val="001B2407"/>
    <w:rPr>
      <w:rFonts w:ascii="Times New Roman" w:eastAsia="Times New Roman" w:hAnsi="Times New Roman" w:cs="Times New Roman"/>
      <w:b/>
      <w:bCs/>
      <w:i w:val="0"/>
      <w:iCs w:val="0"/>
      <w:smallCaps w:val="0"/>
      <w:strike w:val="0"/>
      <w:spacing w:val="50"/>
      <w:sz w:val="31"/>
      <w:szCs w:val="31"/>
      <w:u w:val="none"/>
    </w:rPr>
  </w:style>
  <w:style w:type="character" w:customStyle="1" w:styleId="a1">
    <w:name w:val="Основной текст"/>
    <w:basedOn w:val="a"/>
    <w:rsid w:val="001B240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2">
    <w:name w:val="Основной текст"/>
    <w:basedOn w:val="a"/>
    <w:rsid w:val="001B240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paragraph" w:customStyle="1" w:styleId="220">
    <w:name w:val="Заголовок №2 (2)"/>
    <w:basedOn w:val="Normal"/>
    <w:link w:val="22"/>
    <w:rsid w:val="001B2407"/>
    <w:pPr>
      <w:shd w:val="clear" w:color="auto" w:fill="FFFFFF"/>
      <w:spacing w:after="480" w:line="349" w:lineRule="exact"/>
      <w:jc w:val="center"/>
      <w:outlineLvl w:val="1"/>
    </w:pPr>
    <w:rPr>
      <w:rFonts w:ascii="Times New Roman" w:eastAsia="Times New Roman" w:hAnsi="Times New Roman" w:cs="Times New Roman"/>
      <w:b/>
      <w:bCs/>
      <w:sz w:val="28"/>
      <w:szCs w:val="28"/>
    </w:rPr>
  </w:style>
  <w:style w:type="paragraph" w:customStyle="1" w:styleId="a0">
    <w:name w:val="Основной текст"/>
    <w:basedOn w:val="Normal"/>
    <w:link w:val="a"/>
    <w:rsid w:val="001B2407"/>
    <w:pPr>
      <w:shd w:val="clear" w:color="auto" w:fill="FFFFFF"/>
      <w:spacing w:before="420" w:after="540" w:line="0" w:lineRule="atLeast"/>
      <w:jc w:val="both"/>
    </w:pPr>
    <w:rPr>
      <w:rFonts w:ascii="Times New Roman" w:eastAsia="Times New Roman" w:hAnsi="Times New Roman" w:cs="Times New Roman"/>
      <w:sz w:val="28"/>
      <w:szCs w:val="28"/>
    </w:rPr>
  </w:style>
  <w:style w:type="paragraph" w:customStyle="1" w:styleId="20">
    <w:name w:val="Основной текст (2)"/>
    <w:basedOn w:val="Normal"/>
    <w:link w:val="2"/>
    <w:rsid w:val="001B2407"/>
    <w:pPr>
      <w:shd w:val="clear" w:color="auto" w:fill="FFFFFF"/>
      <w:spacing w:after="120" w:line="0" w:lineRule="atLeast"/>
      <w:jc w:val="both"/>
    </w:pPr>
    <w:rPr>
      <w:rFonts w:ascii="Times New Roman" w:eastAsia="Times New Roman" w:hAnsi="Times New Roman" w:cs="Times New Roman"/>
      <w:b/>
      <w:bCs/>
      <w:sz w:val="28"/>
      <w:szCs w:val="28"/>
    </w:rPr>
  </w:style>
  <w:style w:type="paragraph" w:customStyle="1" w:styleId="23">
    <w:name w:val="Заголовок №2"/>
    <w:basedOn w:val="Normal"/>
    <w:link w:val="21"/>
    <w:rsid w:val="001B2407"/>
    <w:pPr>
      <w:shd w:val="clear" w:color="auto" w:fill="FFFFFF"/>
      <w:spacing w:before="660" w:line="346" w:lineRule="exact"/>
      <w:jc w:val="center"/>
      <w:outlineLvl w:val="1"/>
    </w:pPr>
    <w:rPr>
      <w:rFonts w:ascii="Times New Roman" w:eastAsia="Times New Roman" w:hAnsi="Times New Roman" w:cs="Times New Roman"/>
      <w:b/>
      <w:bCs/>
      <w:spacing w:val="50"/>
      <w:sz w:val="31"/>
      <w:szCs w:val="31"/>
    </w:rPr>
  </w:style>
  <w:style w:type="paragraph" w:styleId="BalloonText">
    <w:name w:val="Balloon Text"/>
    <w:basedOn w:val="Normal"/>
    <w:link w:val="BalloonTextChar"/>
    <w:uiPriority w:val="99"/>
    <w:semiHidden/>
    <w:unhideWhenUsed/>
    <w:rsid w:val="007C1F08"/>
    <w:rPr>
      <w:rFonts w:ascii="Tahoma" w:hAnsi="Tahoma" w:cs="Tahoma"/>
      <w:sz w:val="16"/>
      <w:szCs w:val="16"/>
    </w:rPr>
  </w:style>
  <w:style w:type="character" w:customStyle="1" w:styleId="BalloonTextChar">
    <w:name w:val="Balloon Text Char"/>
    <w:basedOn w:val="DefaultParagraphFont"/>
    <w:link w:val="BalloonText"/>
    <w:uiPriority w:val="99"/>
    <w:semiHidden/>
    <w:rsid w:val="007C1F0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mp@eecommission.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3</cp:revision>
  <dcterms:created xsi:type="dcterms:W3CDTF">2016-01-20T09:12:00Z</dcterms:created>
  <dcterms:modified xsi:type="dcterms:W3CDTF">2016-06-07T10:54:00Z</dcterms:modified>
</cp:coreProperties>
</file>