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F6" w:rsidRDefault="004C5F7D" w:rsidP="000D4A52">
      <w:pPr>
        <w:pStyle w:val="Bodytext4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r w:rsidRPr="005611BE">
        <w:rPr>
          <w:rFonts w:ascii="Sylfaen" w:hAnsi="Sylfaen"/>
          <w:sz w:val="24"/>
          <w:szCs w:val="24"/>
        </w:rPr>
        <w:t>ПРИЛОЖЕНИЕ</w:t>
      </w:r>
      <w:bookmarkEnd w:id="0"/>
      <w:r w:rsidR="00032FB1">
        <w:rPr>
          <w:rFonts w:ascii="Sylfaen" w:hAnsi="Sylfaen"/>
          <w:sz w:val="24"/>
          <w:szCs w:val="24"/>
        </w:rPr>
        <w:t xml:space="preserve"> 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к Решению Совета</w:t>
      </w:r>
    </w:p>
    <w:p w:rsidR="000D4A52" w:rsidRDefault="004C5F7D" w:rsidP="000D4A52">
      <w:pPr>
        <w:pStyle w:val="Bodytext4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5611BE">
        <w:rPr>
          <w:rFonts w:ascii="Sylfaen" w:hAnsi="Sylfaen"/>
          <w:sz w:val="24"/>
          <w:szCs w:val="24"/>
        </w:rPr>
        <w:t xml:space="preserve">Евразийской экономической комиссии </w:t>
      </w:r>
    </w:p>
    <w:p w:rsidR="002B2D93" w:rsidRPr="00CA0424" w:rsidRDefault="004C5F7D" w:rsidP="000D4A52">
      <w:pPr>
        <w:pStyle w:val="Bodytext4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  <w:r w:rsidRPr="005611BE">
        <w:rPr>
          <w:rFonts w:ascii="Sylfaen" w:hAnsi="Sylfaen"/>
          <w:sz w:val="24"/>
          <w:szCs w:val="24"/>
        </w:rPr>
        <w:t>от</w:t>
      </w:r>
      <w:r w:rsidR="00032FB1">
        <w:rPr>
          <w:rFonts w:ascii="Sylfaen" w:hAnsi="Sylfaen"/>
          <w:sz w:val="24"/>
          <w:szCs w:val="24"/>
        </w:rPr>
        <w:t xml:space="preserve"> </w:t>
      </w:r>
      <w:r w:rsidR="00C81A93" w:rsidRPr="005611BE">
        <w:rPr>
          <w:rFonts w:ascii="Sylfaen" w:hAnsi="Sylfaen"/>
          <w:sz w:val="24"/>
          <w:szCs w:val="24"/>
        </w:rPr>
        <w:t xml:space="preserve">«20» января </w:t>
      </w:r>
      <w:r w:rsidRPr="005611BE">
        <w:rPr>
          <w:rFonts w:ascii="Sylfaen" w:hAnsi="Sylfaen"/>
          <w:sz w:val="24"/>
          <w:szCs w:val="24"/>
        </w:rPr>
        <w:t>20</w:t>
      </w:r>
      <w:r w:rsidR="00CA0424">
        <w:rPr>
          <w:rFonts w:ascii="Sylfaen" w:hAnsi="Sylfaen"/>
          <w:sz w:val="24"/>
          <w:szCs w:val="24"/>
          <w:lang w:val="en-US"/>
        </w:rPr>
        <w:t>15</w:t>
      </w:r>
      <w:r w:rsidRPr="005611BE">
        <w:rPr>
          <w:rFonts w:ascii="Sylfaen" w:hAnsi="Sylfaen"/>
          <w:sz w:val="24"/>
          <w:szCs w:val="24"/>
        </w:rPr>
        <w:t xml:space="preserve"> г. №</w:t>
      </w:r>
      <w:r w:rsidR="00CA0424">
        <w:rPr>
          <w:rFonts w:ascii="Sylfaen" w:hAnsi="Sylfaen"/>
          <w:sz w:val="24"/>
          <w:szCs w:val="24"/>
          <w:lang w:val="en-US"/>
        </w:rPr>
        <w:t xml:space="preserve"> 2</w:t>
      </w:r>
    </w:p>
    <w:p w:rsidR="0056669A" w:rsidRPr="0056669A" w:rsidRDefault="0056669A" w:rsidP="000D4A52">
      <w:pPr>
        <w:pStyle w:val="Bodytext40"/>
        <w:shd w:val="clear" w:color="auto" w:fill="auto"/>
        <w:spacing w:before="0" w:after="120" w:line="240" w:lineRule="auto"/>
        <w:ind w:left="5103" w:right="-8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2B2D93" w:rsidRPr="005611BE" w:rsidRDefault="004C5F7D" w:rsidP="000D4A52">
      <w:pPr>
        <w:pStyle w:val="Heading20"/>
        <w:keepNext/>
        <w:keepLines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bookmarkStart w:id="1" w:name="bookmark9"/>
      <w:r w:rsidRPr="005611BE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ИЗМЕНЕНИЯ,</w:t>
      </w:r>
      <w:bookmarkEnd w:id="1"/>
    </w:p>
    <w:p w:rsidR="002B2D93" w:rsidRPr="005611BE" w:rsidRDefault="004C5F7D" w:rsidP="000D4A52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вносимые в технический регламент Таможенного союза «Технический регламент на масложировую продукцию»</w:t>
      </w:r>
    </w:p>
    <w:p w:rsidR="002B2D93" w:rsidRDefault="004C5F7D" w:rsidP="000D4A52">
      <w:pPr>
        <w:pStyle w:val="Heading20"/>
        <w:keepNext/>
        <w:keepLines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  <w:bookmarkStart w:id="2" w:name="bookmark10"/>
      <w:r w:rsidRPr="005611BE">
        <w:rPr>
          <w:rFonts w:ascii="Sylfaen" w:hAnsi="Sylfaen"/>
          <w:sz w:val="24"/>
          <w:szCs w:val="24"/>
        </w:rPr>
        <w:t>(ТР ТС 024/2011)</w:t>
      </w:r>
      <w:bookmarkEnd w:id="2"/>
    </w:p>
    <w:p w:rsidR="0056669A" w:rsidRPr="0056669A" w:rsidRDefault="0056669A" w:rsidP="000D4A52">
      <w:pPr>
        <w:pStyle w:val="Heading20"/>
        <w:keepNext/>
        <w:keepLines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  <w:lang w:val="en-US"/>
        </w:rPr>
      </w:pPr>
    </w:p>
    <w:p w:rsidR="002B2D93" w:rsidRPr="005611BE" w:rsidRDefault="005611BE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t>1.</w:t>
      </w:r>
      <w:r w:rsidR="00032FB1">
        <w:t xml:space="preserve"> </w:t>
      </w:r>
      <w:r w:rsidR="004C5F7D" w:rsidRPr="005611BE">
        <w:rPr>
          <w:rFonts w:ascii="Sylfaen" w:hAnsi="Sylfaen"/>
          <w:sz w:val="24"/>
          <w:szCs w:val="24"/>
        </w:rPr>
        <w:t>Раздел «Содержание» исключить.</w:t>
      </w:r>
    </w:p>
    <w:p w:rsidR="002B2D93" w:rsidRPr="005611BE" w:rsidRDefault="005611BE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t>2.</w:t>
      </w:r>
      <w:r w:rsidR="00032FB1">
        <w:t xml:space="preserve"> </w:t>
      </w:r>
      <w:r w:rsidR="004C5F7D" w:rsidRPr="005611BE">
        <w:rPr>
          <w:rFonts w:ascii="Sylfaen" w:hAnsi="Sylfaen"/>
          <w:sz w:val="24"/>
          <w:szCs w:val="24"/>
        </w:rPr>
        <w:t>В пункте 1 главы 1 слова «к связанным с мими» заменить словами «к связанным с ними».</w:t>
      </w:r>
    </w:p>
    <w:p w:rsidR="002B2D93" w:rsidRPr="005611BE" w:rsidRDefault="005611BE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t>3.</w:t>
      </w:r>
      <w:r w:rsidR="00032FB1">
        <w:t xml:space="preserve"> </w:t>
      </w:r>
      <w:r w:rsidR="004C5F7D" w:rsidRPr="005611BE">
        <w:rPr>
          <w:rFonts w:ascii="Sylfaen" w:hAnsi="Sylfaen"/>
          <w:sz w:val="24"/>
          <w:szCs w:val="24"/>
        </w:rPr>
        <w:t>В пункте 3 статьи 5: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а)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в подпункте 2 слова «изложенными в определении,</w:t>
      </w:r>
    </w:p>
    <w:p w:rsidR="002B2D93" w:rsidRPr="005611BE" w:rsidRDefault="004C5F7D" w:rsidP="002D2A36">
      <w:pPr>
        <w:pStyle w:val="Bodytext4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установленными статьями 3 и Приложениями 3, 4 настоящего технического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регламента»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заменить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словами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«указанными</w:t>
      </w:r>
    </w:p>
    <w:p w:rsidR="002B2D93" w:rsidRPr="005611BE" w:rsidRDefault="004C5F7D" w:rsidP="002D2A36">
      <w:pPr>
        <w:pStyle w:val="Bodytext4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в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определениях,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предусмотренных статьями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2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и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3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настоящего</w:t>
      </w:r>
    </w:p>
    <w:p w:rsidR="002B2D93" w:rsidRPr="005611BE" w:rsidRDefault="004C5F7D" w:rsidP="002D2A36">
      <w:pPr>
        <w:pStyle w:val="Bodytext4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технического регламента и Приложениями 3 и 4 к нему»;</w:t>
      </w:r>
    </w:p>
    <w:p w:rsidR="002B2D93" w:rsidRPr="005611BE" w:rsidRDefault="004C5F7D" w:rsidP="002D2A36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б)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в предложении первом подпункта 4 слова «изложенным</w:t>
      </w:r>
      <w:r w:rsidR="002D2A36" w:rsidRPr="002D2A36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в определении, установленными статьей 3 и Приложением 3 настоящего технического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регламента»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заменить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словами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«указанным</w:t>
      </w:r>
      <w:r w:rsidR="002D2A36" w:rsidRPr="002D2A36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в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определениях,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предусмотренных статьями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2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и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3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настоящего</w:t>
      </w:r>
      <w:r w:rsidR="002D2A36" w:rsidRPr="002D2A36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технического регламента и Приложением 3 к нему».</w:t>
      </w:r>
    </w:p>
    <w:p w:rsidR="002B2D93" w:rsidRPr="005611BE" w:rsidRDefault="005611BE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t>4.</w:t>
      </w:r>
      <w:r w:rsidR="00032FB1">
        <w:t xml:space="preserve"> </w:t>
      </w:r>
      <w:r w:rsidR="004C5F7D" w:rsidRPr="005611BE">
        <w:rPr>
          <w:rFonts w:ascii="Sylfaen" w:hAnsi="Sylfaen"/>
          <w:sz w:val="24"/>
          <w:szCs w:val="24"/>
        </w:rPr>
        <w:t>В статье 8: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а) в предложении первом абзаца второго слова «в наименовании продуктов, формируемых на основе понятий, указанных в статье 3 и Приложениях 3, 4» заменить словами «в наименованиях продуктов, формируемых на основе определений, предусмотренных статьями 2 и 3 настоящего технического регламента и Приложениями 3 и 4 к нему»;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б)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в предложении первом пункта 1 слова «с наименованием, установленным статьей 3» заменить словами «с определениями, предусмотренными статьями 2 и 3»;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в)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пункт 2 изложить в следующей редакции: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«2. Состав пищевой масложировой продукции.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 xml:space="preserve">Указание состава пищевой масложировой продукции не требуется для пищевых </w:t>
      </w:r>
      <w:r w:rsidRPr="005611BE">
        <w:rPr>
          <w:rFonts w:ascii="Sylfaen" w:hAnsi="Sylfaen"/>
          <w:sz w:val="24"/>
          <w:szCs w:val="24"/>
        </w:rPr>
        <w:lastRenderedPageBreak/>
        <w:t>продуктов, состоящих из одного ингредиента, в случае, если наименование пищевого продукта совпадает с наименованием ингредиента.»;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г)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в подпункте 4 пункта 10 слово «ароматизаторов),» заменить словами «ароматизаторов) - для нефасованной пищевой масложировой продукции.».</w:t>
      </w:r>
    </w:p>
    <w:p w:rsidR="002B2D93" w:rsidRPr="005611BE" w:rsidRDefault="005611BE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t>5.</w:t>
      </w:r>
      <w:r w:rsidR="00032FB1">
        <w:t xml:space="preserve"> </w:t>
      </w:r>
      <w:r w:rsidR="004C5F7D" w:rsidRPr="005611BE">
        <w:rPr>
          <w:rFonts w:ascii="Sylfaen" w:hAnsi="Sylfaen"/>
          <w:sz w:val="24"/>
          <w:szCs w:val="24"/>
        </w:rPr>
        <w:t>В статье 19: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а)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пункт 1 изложить в следующей редакции: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«1. Заявителем при оценке соответствия масложировой продукции могут быть зарегистрированные на территории государства - члена Таможенного союза в соответствии с его законодательством юридическое лицо или физическое лицо в качестве индивидуального предпринимателя, являющиеся изготовителем или продавцом либо уполномоченным изготовителем лицом.»;</w:t>
      </w:r>
    </w:p>
    <w:p w:rsidR="002B2D93" w:rsidRPr="005611BE" w:rsidRDefault="004C5F7D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rPr>
          <w:rFonts w:ascii="Sylfaen" w:hAnsi="Sylfaen"/>
          <w:sz w:val="24"/>
          <w:szCs w:val="24"/>
        </w:rPr>
        <w:t>б)</w:t>
      </w:r>
      <w:r w:rsidR="00032FB1">
        <w:rPr>
          <w:rFonts w:ascii="Sylfaen" w:hAnsi="Sylfaen"/>
          <w:sz w:val="24"/>
          <w:szCs w:val="24"/>
        </w:rPr>
        <w:t xml:space="preserve"> </w:t>
      </w:r>
      <w:r w:rsidRPr="005611BE">
        <w:rPr>
          <w:rFonts w:ascii="Sylfaen" w:hAnsi="Sylfaen"/>
          <w:sz w:val="24"/>
          <w:szCs w:val="24"/>
        </w:rPr>
        <w:t>пункт 3 признать утратившим силу.</w:t>
      </w:r>
    </w:p>
    <w:p w:rsidR="002B2D93" w:rsidRPr="005611BE" w:rsidRDefault="005611BE" w:rsidP="000D4A52">
      <w:pPr>
        <w:pStyle w:val="Bodytext4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5611BE">
        <w:t>6.</w:t>
      </w:r>
      <w:r w:rsidR="00032FB1">
        <w:t xml:space="preserve"> </w:t>
      </w:r>
      <w:r w:rsidR="004C5F7D" w:rsidRPr="005611BE">
        <w:rPr>
          <w:rFonts w:ascii="Sylfaen" w:hAnsi="Sylfaen"/>
          <w:sz w:val="24"/>
          <w:szCs w:val="24"/>
        </w:rPr>
        <w:t>Наименование Приложения 2 дополнить словом «продукции».</w:t>
      </w:r>
    </w:p>
    <w:sectPr w:rsidR="002B2D93" w:rsidRPr="005611BE" w:rsidSect="00B3081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F5" w:rsidRDefault="005446F5" w:rsidP="002B2D93">
      <w:r>
        <w:separator/>
      </w:r>
    </w:p>
  </w:endnote>
  <w:endnote w:type="continuationSeparator" w:id="0">
    <w:p w:rsidR="005446F5" w:rsidRDefault="005446F5" w:rsidP="002B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F5" w:rsidRDefault="005446F5"/>
  </w:footnote>
  <w:footnote w:type="continuationSeparator" w:id="0">
    <w:p w:rsidR="005446F5" w:rsidRDefault="005446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6050"/>
    <w:multiLevelType w:val="multilevel"/>
    <w:tmpl w:val="3C109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7A2851"/>
    <w:multiLevelType w:val="multilevel"/>
    <w:tmpl w:val="3C90A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7B064E"/>
    <w:multiLevelType w:val="multilevel"/>
    <w:tmpl w:val="30547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2D93"/>
    <w:rsid w:val="00032FB1"/>
    <w:rsid w:val="000414AF"/>
    <w:rsid w:val="000D4A52"/>
    <w:rsid w:val="002B2D93"/>
    <w:rsid w:val="002D2A36"/>
    <w:rsid w:val="003D4686"/>
    <w:rsid w:val="004B0A61"/>
    <w:rsid w:val="004C5F7D"/>
    <w:rsid w:val="005446F5"/>
    <w:rsid w:val="005611BE"/>
    <w:rsid w:val="0056669A"/>
    <w:rsid w:val="00776F2A"/>
    <w:rsid w:val="007B4FF6"/>
    <w:rsid w:val="008B3852"/>
    <w:rsid w:val="00B30810"/>
    <w:rsid w:val="00C81A93"/>
    <w:rsid w:val="00CA0424"/>
    <w:rsid w:val="00E154C8"/>
    <w:rsid w:val="00FA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2D9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B2D9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2B2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">
    <w:name w:val="Body text (4)_"/>
    <w:basedOn w:val="DefaultParagraphFont"/>
    <w:link w:val="Bodytext40"/>
    <w:rsid w:val="002B2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2B2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Bodytext2Tahoma">
    <w:name w:val="Body text (2) + Tahoma"/>
    <w:aliases w:val="9 pt,Bold,Spacing 0 pt"/>
    <w:basedOn w:val="Bodytext2"/>
    <w:rsid w:val="002B2D9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2B2D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2B2D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2B2D93"/>
    <w:pPr>
      <w:shd w:val="clear" w:color="auto" w:fill="FFFFFF"/>
      <w:spacing w:after="120" w:line="0" w:lineRule="atLeast"/>
      <w:ind w:hanging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B2D9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2B2D93"/>
    <w:pPr>
      <w:shd w:val="clear" w:color="auto" w:fill="FFFFFF"/>
      <w:spacing w:before="1020" w:after="420" w:line="0" w:lineRule="atLeast"/>
      <w:ind w:hanging="420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B2D93"/>
    <w:pPr>
      <w:shd w:val="clear" w:color="auto" w:fill="FFFFFF"/>
      <w:spacing w:before="420" w:after="720" w:line="0" w:lineRule="atLeast"/>
      <w:ind w:hanging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2B2D93"/>
    <w:pPr>
      <w:shd w:val="clear" w:color="auto" w:fill="FFFFFF"/>
      <w:spacing w:before="480" w:line="482" w:lineRule="exact"/>
      <w:ind w:hanging="84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4Bold">
    <w:name w:val="Body text (4) + Bold"/>
    <w:basedOn w:val="Bodytext4"/>
    <w:rsid w:val="00B308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</dc:creator>
  <cp:lastModifiedBy>Tatevik</cp:lastModifiedBy>
  <cp:revision>7</cp:revision>
  <dcterms:created xsi:type="dcterms:W3CDTF">2015-09-30T08:00:00Z</dcterms:created>
  <dcterms:modified xsi:type="dcterms:W3CDTF">2016-05-19T08:47:00Z</dcterms:modified>
</cp:coreProperties>
</file>