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41" w:rsidRDefault="00FD4B47" w:rsidP="00562F61">
      <w:pPr>
        <w:pStyle w:val="Bodytext20"/>
        <w:shd w:val="clear" w:color="auto" w:fill="auto"/>
        <w:spacing w:after="120" w:line="240" w:lineRule="auto"/>
        <w:ind w:right="-8" w:firstLine="567"/>
        <w:jc w:val="right"/>
        <w:rPr>
          <w:rFonts w:ascii="Sylfaen" w:hAnsi="Sylfaen"/>
          <w:sz w:val="24"/>
          <w:szCs w:val="24"/>
          <w:lang w:val="en-US"/>
        </w:rPr>
      </w:pPr>
      <w:bookmarkStart w:id="0" w:name="_GoBack"/>
      <w:r w:rsidRPr="00586196">
        <w:rPr>
          <w:rFonts w:ascii="Sylfaen" w:hAnsi="Sylfaen"/>
          <w:sz w:val="24"/>
          <w:szCs w:val="24"/>
        </w:rPr>
        <w:t>Проект</w:t>
      </w:r>
    </w:p>
    <w:bookmarkEnd w:id="0"/>
    <w:p w:rsidR="0001502B" w:rsidRPr="0001502B" w:rsidRDefault="0001502B" w:rsidP="00562F61">
      <w:pPr>
        <w:pStyle w:val="Bodytext20"/>
        <w:shd w:val="clear" w:color="auto" w:fill="auto"/>
        <w:spacing w:after="120" w:line="240" w:lineRule="auto"/>
        <w:ind w:right="-8" w:firstLine="567"/>
        <w:jc w:val="right"/>
        <w:rPr>
          <w:rFonts w:ascii="Sylfaen" w:hAnsi="Sylfaen"/>
          <w:sz w:val="24"/>
          <w:szCs w:val="24"/>
          <w:lang w:val="en-US"/>
        </w:rPr>
      </w:pPr>
    </w:p>
    <w:p w:rsidR="00DF7541" w:rsidRPr="00586196" w:rsidRDefault="00FD4B47" w:rsidP="0052078A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58619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DF7541" w:rsidRPr="00D34075" w:rsidRDefault="00FD4B47" w:rsidP="0001502B">
      <w:pPr>
        <w:pStyle w:val="Bodytext30"/>
        <w:shd w:val="clear" w:color="auto" w:fill="auto"/>
        <w:spacing w:line="240" w:lineRule="auto"/>
        <w:ind w:left="1276" w:right="984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о Методологии формирования индикативных (прогнозных)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балансов газа, нефти и нефтепродуктов в рамках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01502B" w:rsidRPr="00D34075" w:rsidRDefault="0001502B" w:rsidP="0001502B">
      <w:pPr>
        <w:pStyle w:val="Bodytext30"/>
        <w:shd w:val="clear" w:color="auto" w:fill="auto"/>
        <w:spacing w:line="240" w:lineRule="auto"/>
        <w:ind w:left="1843" w:right="1693"/>
        <w:rPr>
          <w:rFonts w:ascii="Sylfaen" w:hAnsi="Sylfaen"/>
          <w:sz w:val="24"/>
          <w:szCs w:val="24"/>
        </w:rPr>
      </w:pPr>
    </w:p>
    <w:p w:rsidR="00DF7541" w:rsidRPr="00586196" w:rsidRDefault="00FD4B47" w:rsidP="00562F6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Министерство энергетики и природных ресурсов Республики Армения, Министерство экономики Республики Беларусь, Министерство энергетики Республики Казахстан, Министерство энергетики и промышленности Кыргызской Республики и Министерство энергетики Российской Федерации, далее именуемые Сторонами,</w:t>
      </w:r>
    </w:p>
    <w:p w:rsidR="00DF7541" w:rsidRPr="00586196" w:rsidRDefault="00FD4B47" w:rsidP="00977978">
      <w:pPr>
        <w:pStyle w:val="Bodytext20"/>
        <w:shd w:val="clear" w:color="auto" w:fill="auto"/>
        <w:spacing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в целях эффективного использования совокупного энергетического потенциала государств - членов Евразийского экономического союза (далее - государства-члены), оптимизации межгосударственных поставок энергетических ресурсов и обеспечения разработки индикативных (прогнозных) балансов газа, нефти и нефтепродуктов Евразийского экономического союза (далее - Союз),</w:t>
      </w:r>
    </w:p>
    <w:p w:rsidR="00DF7541" w:rsidRPr="00D34075" w:rsidRDefault="00FD4B47" w:rsidP="00977978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согласились о нижеследующем:</w:t>
      </w:r>
    </w:p>
    <w:p w:rsidR="00DF7541" w:rsidRPr="00D34075" w:rsidRDefault="00FD4B47" w:rsidP="00977978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Статья 1</w:t>
      </w:r>
    </w:p>
    <w:p w:rsidR="00DF7541" w:rsidRPr="00586196" w:rsidRDefault="00FD4B47" w:rsidP="00562F6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DF7541" w:rsidRPr="00586196" w:rsidRDefault="00FD4B47" w:rsidP="0052078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«индикативный (прогнозный) баланс государства-члена» - баланс, разрабатываемый уполномоченным органом в отношении соответственно газа, нефти и нефтепродуктов на территории</w:t>
      </w:r>
      <w:r w:rsidR="0052078A" w:rsidRPr="0052078A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государства-члена для целей формирования индикативного (прогнозного) баланса Союза;</w:t>
      </w:r>
    </w:p>
    <w:p w:rsidR="00DF7541" w:rsidRPr="00586196" w:rsidRDefault="00FD4B47" w:rsidP="00562F6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«индикативный (прогнозный) баланс Союза» - баланс, формируемый на основе индикативных (прогнозных) балансов государств-членов в отношении соответственно газа, нефти и нефтепродуктов на таможенной территории Союза;</w:t>
      </w:r>
    </w:p>
    <w:p w:rsidR="00DF7541" w:rsidRDefault="00FD4B47" w:rsidP="007A07FF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  <w:lang w:val="en-US"/>
        </w:rPr>
      </w:pPr>
      <w:r w:rsidRPr="00586196">
        <w:rPr>
          <w:rFonts w:ascii="Sylfaen" w:hAnsi="Sylfaen"/>
          <w:sz w:val="24"/>
          <w:szCs w:val="24"/>
        </w:rPr>
        <w:t>«уполномоченный орган» - орган исполнительной власти государства-члена, уполномоченный в соответствии с законодательством государства-члена осуществлять разработку индикативных (прогнозных) балансов газа, нефти и нефтепродуктов государства-члена.</w:t>
      </w:r>
    </w:p>
    <w:p w:rsidR="00DF7541" w:rsidRPr="00977978" w:rsidRDefault="00FD4B47" w:rsidP="00977978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Статья 2</w:t>
      </w:r>
    </w:p>
    <w:p w:rsidR="007A07FF" w:rsidRPr="007A07FF" w:rsidRDefault="00FD4B47" w:rsidP="007A07FF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 xml:space="preserve">В целях реализации статей 80 и 104 Договора о Евразийском экономическом союзе от 29 мая 2014 года уполномоченные органы разрабатывают и согласовывают индикативный (прогнозный) баланс газа Союза, индикативный (прогнозный) баланс </w:t>
      </w:r>
      <w:r w:rsidRPr="00586196">
        <w:rPr>
          <w:rFonts w:ascii="Sylfaen" w:hAnsi="Sylfaen"/>
          <w:sz w:val="24"/>
          <w:szCs w:val="24"/>
        </w:rPr>
        <w:lastRenderedPageBreak/>
        <w:t>нефти Союза и индикативные (прогнозные) балансы нефтепродуктов Союза в соответствии с Методологией формирования индикативных (прогнозных) балансов газа, нефти и нефтепродуктов в рамках Евразийского экономического союза согласно приложению к настоящему Соглашению, являющейся его неотъемлемой частью.</w:t>
      </w:r>
    </w:p>
    <w:p w:rsidR="00DF7541" w:rsidRPr="00586196" w:rsidRDefault="00FD4B47" w:rsidP="007A07FF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Style w:val="Headerorfooter"/>
          <w:rFonts w:ascii="Sylfaen" w:hAnsi="Sylfaen"/>
          <w:sz w:val="24"/>
          <w:szCs w:val="24"/>
        </w:rPr>
        <w:t xml:space="preserve">Статья </w:t>
      </w:r>
      <w:r w:rsidR="00BA35AF" w:rsidRPr="00586196">
        <w:rPr>
          <w:rFonts w:ascii="Sylfaen" w:hAnsi="Sylfaen"/>
          <w:sz w:val="24"/>
          <w:szCs w:val="24"/>
        </w:rPr>
        <w:fldChar w:fldCharType="begin"/>
      </w:r>
      <w:r w:rsidR="00DF7541" w:rsidRPr="00586196">
        <w:rPr>
          <w:rFonts w:ascii="Sylfaen" w:hAnsi="Sylfaen"/>
          <w:sz w:val="24"/>
          <w:szCs w:val="24"/>
        </w:rPr>
        <w:instrText xml:space="preserve"> PAGE \* MERGEFORMAT </w:instrText>
      </w:r>
      <w:r w:rsidR="00BA35AF" w:rsidRPr="00586196">
        <w:rPr>
          <w:rFonts w:ascii="Sylfaen" w:hAnsi="Sylfaen"/>
          <w:sz w:val="24"/>
          <w:szCs w:val="24"/>
        </w:rPr>
        <w:fldChar w:fldCharType="separate"/>
      </w:r>
      <w:r w:rsidRPr="00586196">
        <w:rPr>
          <w:rStyle w:val="Headerorfooter"/>
          <w:rFonts w:ascii="Sylfaen" w:hAnsi="Sylfaen"/>
          <w:sz w:val="24"/>
          <w:szCs w:val="24"/>
        </w:rPr>
        <w:t>3</w:t>
      </w:r>
      <w:r w:rsidR="00BA35AF" w:rsidRPr="00586196">
        <w:rPr>
          <w:rFonts w:ascii="Sylfaen" w:hAnsi="Sylfaen"/>
          <w:sz w:val="24"/>
          <w:szCs w:val="24"/>
        </w:rPr>
        <w:fldChar w:fldCharType="end"/>
      </w:r>
    </w:p>
    <w:p w:rsidR="00DF7541" w:rsidRPr="00EA23D3" w:rsidRDefault="00FD4B47" w:rsidP="007A07FF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Уполномоченные органы ежегодно разрабатывают индикативный (прогнозный) баланс газа, индикативный (прогнозный) баланс нефти и индикативные (прогнозные) балансы нефтепродуктов (бензина автомобильного, топлива дизельного, мазута топочного, топлива для реактивных двигателей) своего государства, согласовывают в случае необходимости друг с другом отдельные параметры этих индикативных балансов и направляют их в Евразийскую экономическую комиссию (далее - Комиссия) до 5 сентября текущего года.</w:t>
      </w:r>
    </w:p>
    <w:p w:rsidR="00DF7541" w:rsidRPr="007A07FF" w:rsidRDefault="00FD4B47" w:rsidP="007A07FF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812307">
        <w:rPr>
          <w:rStyle w:val="Headerorfooter"/>
          <w:rFonts w:ascii="Sylfaen" w:hAnsi="Sylfaen"/>
          <w:sz w:val="24"/>
          <w:szCs w:val="24"/>
        </w:rPr>
        <w:t>Статья</w:t>
      </w:r>
      <w:r w:rsidRPr="00586196">
        <w:rPr>
          <w:rFonts w:ascii="Sylfaen" w:hAnsi="Sylfaen"/>
          <w:sz w:val="24"/>
          <w:szCs w:val="24"/>
        </w:rPr>
        <w:t xml:space="preserve"> 4</w:t>
      </w:r>
    </w:p>
    <w:p w:rsidR="00DF7541" w:rsidRPr="007A07FF" w:rsidRDefault="00FD4B47" w:rsidP="00E56B86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Комиссия ежегодно на основе представленных уполномоченными органами согласованных индикативных (прогнозных) балансов государств-членов осуществляет подготовку индикативного (прогнозного) баланса газа Союза, индикативного (прогнозного) баланса нефти Союза и индикативных (прогнозных) балансов нефтепродуктов Союза.</w:t>
      </w:r>
    </w:p>
    <w:p w:rsidR="00DF7541" w:rsidRPr="00E56B86" w:rsidRDefault="00FD4B47" w:rsidP="00E56B86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812307">
        <w:rPr>
          <w:rStyle w:val="Headerorfooter"/>
          <w:rFonts w:ascii="Sylfaen" w:hAnsi="Sylfaen"/>
          <w:sz w:val="24"/>
          <w:szCs w:val="24"/>
        </w:rPr>
        <w:t>Статья</w:t>
      </w:r>
      <w:r w:rsidRPr="00586196">
        <w:rPr>
          <w:rFonts w:ascii="Sylfaen" w:hAnsi="Sylfaen"/>
          <w:sz w:val="24"/>
          <w:szCs w:val="24"/>
        </w:rPr>
        <w:t xml:space="preserve"> 5</w:t>
      </w:r>
    </w:p>
    <w:p w:rsidR="00DF7541" w:rsidRPr="00586196" w:rsidRDefault="00FD4B47" w:rsidP="00E56B86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Индикативные (прогнозные) балансы Союза образуют единую систему показателей, используемую в рамках Союза и в государствах-членах, характеризующих добычу, производство, потребление, импорт, экспорт и поставки, в том числе взаимные, для удовлетворения внутренних потребностей государств-членов, газа, нефти и нефтепродуктов на территориях государств-членов.</w:t>
      </w:r>
    </w:p>
    <w:p w:rsidR="00DF7541" w:rsidRPr="00586196" w:rsidRDefault="00FD4B47" w:rsidP="00E56B86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Style w:val="Headerorfooter"/>
          <w:rFonts w:ascii="Sylfaen" w:hAnsi="Sylfaen"/>
          <w:sz w:val="24"/>
          <w:szCs w:val="24"/>
        </w:rPr>
        <w:t xml:space="preserve">Статья </w:t>
      </w:r>
      <w:r w:rsidR="00BA35AF" w:rsidRPr="00586196">
        <w:rPr>
          <w:rFonts w:ascii="Sylfaen" w:hAnsi="Sylfaen"/>
          <w:sz w:val="24"/>
          <w:szCs w:val="24"/>
        </w:rPr>
        <w:fldChar w:fldCharType="begin"/>
      </w:r>
      <w:r w:rsidR="00DF7541" w:rsidRPr="00586196">
        <w:rPr>
          <w:rFonts w:ascii="Sylfaen" w:hAnsi="Sylfaen"/>
          <w:sz w:val="24"/>
          <w:szCs w:val="24"/>
        </w:rPr>
        <w:instrText xml:space="preserve"> PAGE \* MERGEFORMAT </w:instrText>
      </w:r>
      <w:r w:rsidR="00BA35AF" w:rsidRPr="00586196">
        <w:rPr>
          <w:rFonts w:ascii="Sylfaen" w:hAnsi="Sylfaen"/>
          <w:sz w:val="24"/>
          <w:szCs w:val="24"/>
        </w:rPr>
        <w:fldChar w:fldCharType="separate"/>
      </w:r>
      <w:r w:rsidRPr="00586196">
        <w:rPr>
          <w:rStyle w:val="Headerorfooter"/>
          <w:rFonts w:ascii="Sylfaen" w:hAnsi="Sylfaen"/>
          <w:sz w:val="24"/>
          <w:szCs w:val="24"/>
        </w:rPr>
        <w:t>6</w:t>
      </w:r>
      <w:r w:rsidR="00BA35AF" w:rsidRPr="00586196">
        <w:rPr>
          <w:rFonts w:ascii="Sylfaen" w:hAnsi="Sylfaen"/>
          <w:sz w:val="24"/>
          <w:szCs w:val="24"/>
        </w:rPr>
        <w:fldChar w:fldCharType="end"/>
      </w:r>
    </w:p>
    <w:p w:rsidR="00DF7541" w:rsidRPr="00D34075" w:rsidRDefault="00FD4B47" w:rsidP="00E56B86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Индикативные (прогнозные) балансы Союза ежегодно формируются на 5-летний период и включают отчетные показатели за предшествующий год, ожидаемые показатели на текущий год и прогнозные показатели на три последующих года.</w:t>
      </w:r>
    </w:p>
    <w:p w:rsidR="00DF7541" w:rsidRPr="00D34075" w:rsidRDefault="00FD4B47" w:rsidP="00E56B86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Статья 7</w:t>
      </w:r>
    </w:p>
    <w:p w:rsidR="00DF7541" w:rsidRPr="00D34075" w:rsidRDefault="00FD4B47" w:rsidP="00E56B86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 xml:space="preserve">Разработка уполномоченными органами индикативных (прогнозных) балансов государств-членов осуществляется на основе приоритетного обеспечения </w:t>
      </w:r>
      <w:r w:rsidRPr="00586196">
        <w:rPr>
          <w:rFonts w:ascii="Sylfaen" w:hAnsi="Sylfaen"/>
          <w:sz w:val="24"/>
          <w:szCs w:val="24"/>
        </w:rPr>
        <w:lastRenderedPageBreak/>
        <w:t>внутренних потребностей государств-членов в соответствии с законодательством государств-членов и с учетом международных обязательств государств-членов, общеэкономических и отраслевых прогнозов и программ развития государств-членов, прогнозов и инвестиционных программ организаций топливно-энергетического комплекса государств-членов.</w:t>
      </w:r>
    </w:p>
    <w:p w:rsidR="00DF7541" w:rsidRPr="00D34075" w:rsidRDefault="00FD4B47" w:rsidP="00E56B86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Статья 8</w:t>
      </w:r>
    </w:p>
    <w:p w:rsidR="00DF7541" w:rsidRPr="00D34075" w:rsidRDefault="00FD4B47" w:rsidP="00E56B86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Уполномоченные органы государств-членов обеспечивают полноту и достоверность индикативных (прогнозных) балансов государств-членов.</w:t>
      </w:r>
    </w:p>
    <w:p w:rsidR="00DF7541" w:rsidRPr="00586196" w:rsidRDefault="00FD4B47" w:rsidP="00057D46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Style w:val="Headerorfooter"/>
          <w:rFonts w:ascii="Sylfaen" w:hAnsi="Sylfaen"/>
          <w:sz w:val="24"/>
          <w:szCs w:val="24"/>
        </w:rPr>
        <w:t xml:space="preserve">Статья </w:t>
      </w:r>
      <w:r w:rsidR="00BA35AF" w:rsidRPr="00586196">
        <w:rPr>
          <w:rFonts w:ascii="Sylfaen" w:hAnsi="Sylfaen"/>
          <w:sz w:val="24"/>
          <w:szCs w:val="24"/>
        </w:rPr>
        <w:fldChar w:fldCharType="begin"/>
      </w:r>
      <w:r w:rsidR="00DF7541" w:rsidRPr="00586196">
        <w:rPr>
          <w:rFonts w:ascii="Sylfaen" w:hAnsi="Sylfaen"/>
          <w:sz w:val="24"/>
          <w:szCs w:val="24"/>
        </w:rPr>
        <w:instrText xml:space="preserve"> PAGE \* MERGEFORMAT </w:instrText>
      </w:r>
      <w:r w:rsidR="00BA35AF" w:rsidRPr="00586196">
        <w:rPr>
          <w:rFonts w:ascii="Sylfaen" w:hAnsi="Sylfaen"/>
          <w:sz w:val="24"/>
          <w:szCs w:val="24"/>
        </w:rPr>
        <w:fldChar w:fldCharType="separate"/>
      </w:r>
      <w:r w:rsidRPr="00586196">
        <w:rPr>
          <w:rStyle w:val="Headerorfooter"/>
          <w:rFonts w:ascii="Sylfaen" w:hAnsi="Sylfaen"/>
          <w:sz w:val="24"/>
          <w:szCs w:val="24"/>
        </w:rPr>
        <w:t>9</w:t>
      </w:r>
      <w:r w:rsidR="00BA35AF" w:rsidRPr="00586196">
        <w:rPr>
          <w:rFonts w:ascii="Sylfaen" w:hAnsi="Sylfaen"/>
          <w:sz w:val="24"/>
          <w:szCs w:val="24"/>
        </w:rPr>
        <w:fldChar w:fldCharType="end"/>
      </w:r>
    </w:p>
    <w:p w:rsidR="00DF7541" w:rsidRPr="00586196" w:rsidRDefault="00FD4B47" w:rsidP="0081230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При необходимости проведения корректировки индикативных (прогнозных) балансов газа, нефти и нефтепродуктов Союза уполномоченные органы направляют в Комиссию скорректированные индикативные (прогнозные) балансы газа, нефти и нефтепродуктов государств-членов.</w:t>
      </w:r>
    </w:p>
    <w:p w:rsidR="00DF7541" w:rsidRPr="00D34075" w:rsidRDefault="00FD4B47" w:rsidP="00057D46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Уточнение индикативных (прогнозных) балансов Союза может осуществляться 1 раз в год, до 1 октября текущего года, с учетом фактического изменения добычи газа, нефти, производства и потребления газа и нефтепродуктов государств-членов.</w:t>
      </w:r>
    </w:p>
    <w:p w:rsidR="00DF7541" w:rsidRPr="00D34075" w:rsidRDefault="00FD4B47" w:rsidP="00057D46">
      <w:pPr>
        <w:pStyle w:val="Bodytext20"/>
        <w:shd w:val="clear" w:color="auto" w:fill="auto"/>
        <w:spacing w:after="360" w:line="240" w:lineRule="auto"/>
        <w:ind w:right="-6" w:firstLine="567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Статья 10</w:t>
      </w:r>
    </w:p>
    <w:p w:rsidR="00DF7541" w:rsidRPr="00057D46" w:rsidRDefault="00FD4B47" w:rsidP="00057D46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Комиссия до 15 октября текущего года формирует скорректированные (уточненные) индикативные (прогнозные) балансы газа, нефти и нефтепродуктов Союза, публикует их на официальном сайте Союза в информационно-телекоммуникационной сети «Интернет». Соответствующая информация докладывается Коллегии Комиссии.</w:t>
      </w:r>
    </w:p>
    <w:p w:rsidR="00DF7541" w:rsidRPr="00057D46" w:rsidRDefault="00FD4B47" w:rsidP="00057D46">
      <w:pPr>
        <w:pStyle w:val="Bodytext20"/>
        <w:shd w:val="clear" w:color="auto" w:fill="auto"/>
        <w:spacing w:after="360" w:line="240" w:lineRule="auto"/>
        <w:ind w:right="-6" w:firstLine="567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Статья 11</w:t>
      </w:r>
    </w:p>
    <w:p w:rsidR="00DF7541" w:rsidRPr="00D34075" w:rsidRDefault="00FD4B47" w:rsidP="00057D46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DF7541" w:rsidRPr="00586196" w:rsidRDefault="00FD4B47" w:rsidP="00057D46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Style w:val="Headerorfooter"/>
          <w:rFonts w:ascii="Sylfaen" w:hAnsi="Sylfaen"/>
          <w:sz w:val="24"/>
          <w:szCs w:val="24"/>
        </w:rPr>
        <w:t xml:space="preserve">Статья </w:t>
      </w:r>
      <w:r w:rsidR="00BA35AF" w:rsidRPr="00586196">
        <w:rPr>
          <w:rFonts w:ascii="Sylfaen" w:hAnsi="Sylfaen"/>
          <w:sz w:val="24"/>
          <w:szCs w:val="24"/>
        </w:rPr>
        <w:fldChar w:fldCharType="begin"/>
      </w:r>
      <w:r w:rsidR="00DF7541" w:rsidRPr="00586196">
        <w:rPr>
          <w:rFonts w:ascii="Sylfaen" w:hAnsi="Sylfaen"/>
          <w:sz w:val="24"/>
          <w:szCs w:val="24"/>
        </w:rPr>
        <w:instrText xml:space="preserve"> PAGE \* MERGEFORMAT </w:instrText>
      </w:r>
      <w:r w:rsidR="00BA35AF" w:rsidRPr="00586196">
        <w:rPr>
          <w:rFonts w:ascii="Sylfaen" w:hAnsi="Sylfaen"/>
          <w:sz w:val="24"/>
          <w:szCs w:val="24"/>
        </w:rPr>
        <w:fldChar w:fldCharType="separate"/>
      </w:r>
      <w:r w:rsidRPr="00586196">
        <w:rPr>
          <w:rStyle w:val="Headerorfooter"/>
          <w:rFonts w:ascii="Sylfaen" w:hAnsi="Sylfaen"/>
          <w:sz w:val="24"/>
          <w:szCs w:val="24"/>
        </w:rPr>
        <w:t>12</w:t>
      </w:r>
      <w:r w:rsidR="00BA35AF" w:rsidRPr="00586196">
        <w:rPr>
          <w:rFonts w:ascii="Sylfaen" w:hAnsi="Sylfaen"/>
          <w:sz w:val="24"/>
          <w:szCs w:val="24"/>
        </w:rPr>
        <w:fldChar w:fldCharType="end"/>
      </w:r>
    </w:p>
    <w:p w:rsidR="00DF7541" w:rsidRPr="00586196" w:rsidRDefault="00FD4B47" w:rsidP="0081230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По согласованию Сторон в настоящее Соглашение могут быть внесены изменения, которые оформляются отдельными протоколами.</w:t>
      </w:r>
    </w:p>
    <w:p w:rsidR="00DF7541" w:rsidRPr="00D34075" w:rsidRDefault="00FD4B47" w:rsidP="00057D46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Настоящее Соглашение не затрагивает прав и обязательств государств-членов, вытекающих из других международных договоров, участниками которых они являются.</w:t>
      </w:r>
    </w:p>
    <w:p w:rsidR="00DF7541" w:rsidRPr="00D34075" w:rsidRDefault="00FD4B47" w:rsidP="00057D46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Статья 13</w:t>
      </w:r>
    </w:p>
    <w:p w:rsidR="00DF7541" w:rsidRPr="00D34075" w:rsidRDefault="00FD4B47" w:rsidP="00057D46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статьей 112 Договора о Евразийском экономическом союзе от 29 мая 2014 года.</w:t>
      </w:r>
    </w:p>
    <w:p w:rsidR="00DF7541" w:rsidRPr="00057D46" w:rsidRDefault="00FD4B47" w:rsidP="00057D46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Статья 14</w:t>
      </w:r>
    </w:p>
    <w:p w:rsidR="00DF7541" w:rsidRPr="00586196" w:rsidRDefault="00FD4B47" w:rsidP="000546A4">
      <w:pPr>
        <w:pStyle w:val="Bodytext20"/>
        <w:shd w:val="clear" w:color="auto" w:fill="auto"/>
        <w:spacing w:after="9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Настоящее Соглашение вступает в силу по истечении 30 календарных дней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DF7541" w:rsidRPr="00586196" w:rsidRDefault="00FD4B47" w:rsidP="00E039C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Совершено в городе_______________«___»___________2015 года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DF7541" w:rsidRPr="00586196" w:rsidRDefault="00FD4B47" w:rsidP="00E039C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</w:t>
      </w:r>
    </w:p>
    <w:p w:rsidR="00DF7541" w:rsidRPr="00D34075" w:rsidRDefault="00FD4B47" w:rsidP="00E039CC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настоящего Соглашения, направит каждому государству-члену его заверенную копию.</w:t>
      </w:r>
    </w:p>
    <w:p w:rsidR="00642404" w:rsidRPr="00D34075" w:rsidRDefault="00642404" w:rsidP="00E039CC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6"/>
        <w:gridCol w:w="5314"/>
      </w:tblGrid>
      <w:tr w:rsidR="00DF7541" w:rsidRPr="00586196" w:rsidTr="00586196">
        <w:trPr>
          <w:jc w:val="center"/>
        </w:trPr>
        <w:tc>
          <w:tcPr>
            <w:tcW w:w="4626" w:type="dxa"/>
            <w:shd w:val="clear" w:color="auto" w:fill="FFFFFF"/>
            <w:vAlign w:val="center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Bold"/>
                <w:rFonts w:ascii="Sylfaen" w:hAnsi="Sylfaen"/>
                <w:sz w:val="24"/>
                <w:szCs w:val="24"/>
              </w:rPr>
              <w:t>За Министерство энергетики и природных ресурсов Республики Армения</w:t>
            </w:r>
          </w:p>
        </w:tc>
        <w:tc>
          <w:tcPr>
            <w:tcW w:w="531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86196">
        <w:trPr>
          <w:jc w:val="center"/>
        </w:trPr>
        <w:tc>
          <w:tcPr>
            <w:tcW w:w="4626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Bold"/>
                <w:rFonts w:ascii="Sylfaen" w:hAnsi="Sylfaen"/>
                <w:sz w:val="24"/>
                <w:szCs w:val="24"/>
              </w:rPr>
              <w:t>За Министерство экономики Республики Беларусь</w:t>
            </w:r>
          </w:p>
        </w:tc>
        <w:tc>
          <w:tcPr>
            <w:tcW w:w="531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86196">
        <w:trPr>
          <w:jc w:val="center"/>
        </w:trPr>
        <w:tc>
          <w:tcPr>
            <w:tcW w:w="4626" w:type="dxa"/>
            <w:shd w:val="clear" w:color="auto" w:fill="FFFFFF"/>
            <w:vAlign w:val="center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Bold"/>
                <w:rFonts w:ascii="Sylfaen" w:hAnsi="Sylfaen"/>
                <w:sz w:val="24"/>
                <w:szCs w:val="24"/>
              </w:rPr>
              <w:t>За Министерство энергетики Республики Казахстан</w:t>
            </w:r>
          </w:p>
        </w:tc>
        <w:tc>
          <w:tcPr>
            <w:tcW w:w="531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86196">
        <w:trPr>
          <w:jc w:val="center"/>
        </w:trPr>
        <w:tc>
          <w:tcPr>
            <w:tcW w:w="4626" w:type="dxa"/>
            <w:shd w:val="clear" w:color="auto" w:fill="FFFFFF"/>
            <w:vAlign w:val="center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Bold"/>
                <w:rFonts w:ascii="Sylfaen" w:hAnsi="Sylfaen"/>
                <w:sz w:val="24"/>
                <w:szCs w:val="24"/>
              </w:rPr>
              <w:t>За Министерство энергетики и промышленности Кыргызской Республики</w:t>
            </w:r>
          </w:p>
        </w:tc>
        <w:tc>
          <w:tcPr>
            <w:tcW w:w="531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86196">
        <w:trPr>
          <w:jc w:val="center"/>
        </w:trPr>
        <w:tc>
          <w:tcPr>
            <w:tcW w:w="4626" w:type="dxa"/>
            <w:shd w:val="clear" w:color="auto" w:fill="FFFFFF"/>
            <w:vAlign w:val="center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Bold"/>
                <w:rFonts w:ascii="Sylfaen" w:hAnsi="Sylfaen"/>
                <w:sz w:val="24"/>
                <w:szCs w:val="24"/>
              </w:rPr>
              <w:t>За Министерство энергетики Российской Федерации</w:t>
            </w:r>
          </w:p>
        </w:tc>
        <w:tc>
          <w:tcPr>
            <w:tcW w:w="531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DF7541" w:rsidRPr="00586196" w:rsidRDefault="00DF7541" w:rsidP="00586196">
      <w:pPr>
        <w:spacing w:after="120"/>
      </w:pPr>
    </w:p>
    <w:p w:rsidR="000546A4" w:rsidRDefault="000546A4">
      <w:r>
        <w:br w:type="page"/>
      </w:r>
    </w:p>
    <w:p w:rsidR="00DF7541" w:rsidRPr="00586196" w:rsidRDefault="00FD4B47" w:rsidP="00A8564F">
      <w:pPr>
        <w:pStyle w:val="Bodytext20"/>
        <w:shd w:val="clear" w:color="auto" w:fill="auto"/>
        <w:spacing w:after="120" w:line="240" w:lineRule="auto"/>
        <w:ind w:left="3828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ПРИЛОЖЕНИЕ</w:t>
      </w:r>
    </w:p>
    <w:p w:rsidR="00DF7541" w:rsidRPr="00D34075" w:rsidRDefault="00FD4B47" w:rsidP="00A8564F">
      <w:pPr>
        <w:pStyle w:val="Bodytext20"/>
        <w:shd w:val="clear" w:color="auto" w:fill="auto"/>
        <w:spacing w:after="120" w:line="240" w:lineRule="auto"/>
        <w:ind w:left="3828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 Соглашению о Методологии формирования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индикативных (прогнозных) балансов газа,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нефти и нефтепродуктов в рамках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A8564F" w:rsidRPr="00D34075" w:rsidRDefault="00A8564F" w:rsidP="00A8564F">
      <w:pPr>
        <w:pStyle w:val="Bodytext20"/>
        <w:shd w:val="clear" w:color="auto" w:fill="auto"/>
        <w:spacing w:after="120" w:line="240" w:lineRule="auto"/>
        <w:ind w:left="3828" w:right="-8" w:firstLine="0"/>
        <w:jc w:val="center"/>
        <w:rPr>
          <w:rFonts w:ascii="Sylfaen" w:hAnsi="Sylfaen"/>
          <w:sz w:val="24"/>
          <w:szCs w:val="24"/>
        </w:rPr>
      </w:pPr>
    </w:p>
    <w:p w:rsidR="00DF7541" w:rsidRPr="00586196" w:rsidRDefault="00FD4B47" w:rsidP="00A8564F">
      <w:pPr>
        <w:pStyle w:val="Bodytext30"/>
        <w:shd w:val="clear" w:color="auto" w:fill="auto"/>
        <w:spacing w:line="240" w:lineRule="auto"/>
        <w:ind w:left="426" w:right="-8"/>
        <w:rPr>
          <w:rFonts w:ascii="Sylfaen" w:hAnsi="Sylfaen"/>
          <w:sz w:val="24"/>
          <w:szCs w:val="24"/>
        </w:rPr>
      </w:pPr>
      <w:r w:rsidRPr="0058619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МЕТОДОЛОГИЯ</w:t>
      </w:r>
    </w:p>
    <w:p w:rsidR="00DF7541" w:rsidRPr="00D34075" w:rsidRDefault="00FD4B47" w:rsidP="00A8564F">
      <w:pPr>
        <w:pStyle w:val="Bodytext30"/>
        <w:shd w:val="clear" w:color="auto" w:fill="auto"/>
        <w:spacing w:line="240" w:lineRule="auto"/>
        <w:ind w:left="426" w:right="-8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формирования индикативных (прогнозных) балансов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газа, нефти и нефтепродуктов в рамках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A8564F" w:rsidRPr="00D34075" w:rsidRDefault="00A8564F" w:rsidP="000712FB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DF7541" w:rsidRPr="00D34075" w:rsidRDefault="00FD4B47" w:rsidP="00CC34AF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I.</w:t>
      </w:r>
      <w:r w:rsidRPr="00D3407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Общие положения</w:t>
      </w:r>
    </w:p>
    <w:p w:rsidR="00DF7541" w:rsidRPr="00586196" w:rsidRDefault="00FD4B47" w:rsidP="00A8564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Настоящая Методология разработана в целях реализации положений статей 80 и 104 Договора о Евразийском экономическом союзе от 29 мая 2014 года и определяет основные подходы к формированию индикативных (прогнозных) балансов газа, нефти и нефтепродуктов Евразийского экономического союза (далее - Союз).</w:t>
      </w:r>
    </w:p>
    <w:p w:rsidR="00DF7541" w:rsidRPr="00586196" w:rsidRDefault="00FD4B47" w:rsidP="00A8564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Индикативные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(прогнозные)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балансы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газа,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нефти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Союза образуют единую систему показателей, используемую в рамках Союза и в государствах - членах Союза (далее - государства-члены).</w:t>
      </w:r>
    </w:p>
    <w:p w:rsidR="00A8564F" w:rsidRPr="00D34075" w:rsidRDefault="000712FB" w:rsidP="00CC34AF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712FB">
        <w:rPr>
          <w:rFonts w:ascii="Sylfaen" w:hAnsi="Sylfaen"/>
          <w:sz w:val="24"/>
          <w:szCs w:val="24"/>
        </w:rPr>
        <w:t>3.</w:t>
      </w:r>
      <w:r w:rsidRPr="000712FB">
        <w:t xml:space="preserve"> </w:t>
      </w:r>
      <w:r w:rsidR="00FD4B47" w:rsidRPr="00586196">
        <w:rPr>
          <w:rFonts w:ascii="Sylfaen" w:hAnsi="Sylfaen"/>
          <w:sz w:val="24"/>
          <w:szCs w:val="24"/>
        </w:rPr>
        <w:t>Индикативные</w:t>
      </w:r>
      <w:r w:rsidR="00FD4B47"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D4B47" w:rsidRPr="00586196">
        <w:rPr>
          <w:rFonts w:ascii="Sylfaen" w:hAnsi="Sylfaen"/>
          <w:sz w:val="24"/>
          <w:szCs w:val="24"/>
        </w:rPr>
        <w:t>(прогнозные)</w:t>
      </w:r>
      <w:r w:rsidR="00FD4B47"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D4B47" w:rsidRPr="00586196">
        <w:rPr>
          <w:rFonts w:ascii="Sylfaen" w:hAnsi="Sylfaen"/>
          <w:sz w:val="24"/>
          <w:szCs w:val="24"/>
        </w:rPr>
        <w:t>балансы</w:t>
      </w:r>
      <w:r w:rsidR="00FD4B47"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D4B47" w:rsidRPr="00586196">
        <w:rPr>
          <w:rFonts w:ascii="Sylfaen" w:hAnsi="Sylfaen"/>
          <w:sz w:val="24"/>
          <w:szCs w:val="24"/>
        </w:rPr>
        <w:t>газа,</w:t>
      </w:r>
      <w:r w:rsidR="00FD4B47"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D4B47" w:rsidRPr="00586196">
        <w:rPr>
          <w:rFonts w:ascii="Sylfaen" w:hAnsi="Sylfaen"/>
          <w:sz w:val="24"/>
          <w:szCs w:val="24"/>
        </w:rPr>
        <w:t>нефти</w:t>
      </w:r>
      <w:r w:rsidR="00FD4B47"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D4B47" w:rsidRPr="00586196">
        <w:rPr>
          <w:rFonts w:ascii="Sylfaen" w:hAnsi="Sylfaen"/>
          <w:sz w:val="24"/>
          <w:szCs w:val="24"/>
        </w:rPr>
        <w:t>и</w:t>
      </w:r>
      <w:r w:rsidR="00FD4B47"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D4B47" w:rsidRPr="00586196">
        <w:rPr>
          <w:rFonts w:ascii="Sylfaen" w:hAnsi="Sylfaen"/>
          <w:sz w:val="24"/>
          <w:szCs w:val="24"/>
        </w:rPr>
        <w:t>нефтепродуктов Союза формируются на 5-летний период и включают в себя отчетные показатели за предшествующий год, ожидаемые показатели за текущий год и прогнозные показатели на 3 последующих года.</w:t>
      </w:r>
    </w:p>
    <w:p w:rsidR="00DF7541" w:rsidRPr="00D34075" w:rsidRDefault="00FD4B47" w:rsidP="00CC34AF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II.</w:t>
      </w:r>
      <w:r w:rsidRPr="00D3407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Определения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4.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Понятия, используемые в настоящей Методологии, означают следующее: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«индикативный (прогнозный) баланс государства-члена» - баланс, разрабатываемый уполномоченным органом в отношении соответственно газа, нефти и нефтепродуктов на территории государства-члена для целей формирования индикативного (прогнозного) баланса Союза;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«индикативный (прогнозный) баланс Союза» - баланс, формируемый на основе индикативных (прогнозных) балансов государств-членов в отношении соответственно газа, нефти и нефтепродуктов на таможенной территории Союза;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«баланс» - система показателей, характеризующих производство, потребление, прочие поступления и потери, импорт и экспорт газа, нефти и нефтепродуктов на территориях государств-членов или таможенной территории Союза;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«бензин автомобильный» - бензины автомобильные всех марок;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«газ» - природный газ и попутный нефтяной газ, а также газ, полученный в результате стабилизации и деэтанизации конденсата газового;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«импорт»: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в индикативных (прогнозных) балансах газа, нефти и нефтепродуктов государства-члена - величина, характеризующая количество газа, нефти, нефтепродуктов, ввозимых на территорию государства-члена, в результате чего увеличивается количество газа, нефти и нефтепродуктов на территории государства-члена;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в индикативных (прогнозных) балансах газа, нефти и нефтепродуктов Союза - величина, характеризующая количество газа, нефти, нефтепродуктов, ввозимых на территории государств-членов, в результате чего увеличивается количество газа, нефти и нефтепродуктов на таможенной территории Союза;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«мазут топочный» - топочные мазуты всех марок;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«нефтяное сырье» - нефть сырая и конденсат газовый;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«потери» - потери нефтяного сырья, образующиеся при транспортировке трубопроводным транспортом/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«рекуперированное сырье (вторичное нефтяное сырье)» - жидкие углеводороды, извлеченные из попутного нефтяного газа</w:t>
      </w:r>
      <w:r w:rsidR="00C3616F">
        <w:rPr>
          <w:rStyle w:val="FootnoteReference"/>
          <w:rFonts w:ascii="Sylfaen" w:hAnsi="Sylfaen"/>
          <w:sz w:val="24"/>
          <w:szCs w:val="24"/>
        </w:rPr>
        <w:footnoteReference w:customMarkFollows="1" w:id="1"/>
        <w:t>*</w:t>
      </w:r>
      <w:r w:rsidRPr="00586196">
        <w:rPr>
          <w:rFonts w:ascii="Sylfaen" w:hAnsi="Sylfaen"/>
          <w:sz w:val="24"/>
          <w:szCs w:val="24"/>
        </w:rPr>
        <w:t>, нефтесодержащих балластных вод танкеров, шламовых амбаров, загрязненных грунтов и др.;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«топливо дизельное» - дизельное топливо всех марок (летнее, зимнее, арктическое и прочее);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«топливо для реактивных двигателей» - топливо для использования в реактивных авиационных двигателях;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«экспорт»:</w:t>
      </w:r>
    </w:p>
    <w:p w:rsidR="00DF7541" w:rsidRPr="00586196" w:rsidRDefault="00FD4B47" w:rsidP="0084196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в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индикативных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балансах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газа,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нефти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государства-члена - величина, характеризующая количество газа, нефти, нефтепродуктов, вывозимых с территории государства-члена, в результате чего уменьшается количество газа, нефти и нефтепродуктов на территории государства-члена;</w:t>
      </w:r>
    </w:p>
    <w:p w:rsidR="00DF7541" w:rsidRPr="00D34075" w:rsidRDefault="00FD4B47" w:rsidP="00A91035">
      <w:pPr>
        <w:pStyle w:val="Bodytext20"/>
        <w:shd w:val="clear" w:color="auto" w:fill="auto"/>
        <w:spacing w:after="36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в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индикативных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балансах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газа,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нефти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Союза - величина, характеризующая количество газа, нефти и нефтепродуктов, вывозимых с территорий государств-членов,</w:t>
      </w:r>
      <w:r w:rsidR="00A721BF" w:rsidRPr="00A721BF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в результате чего уменьшается количество газа, нефти и нефтепродуктов на таможенной территории Союза.</w:t>
      </w:r>
    </w:p>
    <w:p w:rsidR="000814B5" w:rsidRDefault="000814B5">
      <w:pPr>
        <w:rPr>
          <w:rFonts w:eastAsia="Times New Roman" w:cs="Times New Roman"/>
        </w:rPr>
      </w:pPr>
      <w:r>
        <w:br w:type="page"/>
      </w:r>
    </w:p>
    <w:p w:rsidR="00DF7541" w:rsidRPr="00D34075" w:rsidRDefault="00FD4B47" w:rsidP="003371E1">
      <w:pPr>
        <w:pStyle w:val="Bodytext20"/>
        <w:shd w:val="clear" w:color="auto" w:fill="auto"/>
        <w:spacing w:after="360" w:line="240" w:lineRule="auto"/>
        <w:ind w:left="1418" w:right="211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III.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Структура индикативных (прогнозных) балансов газа, нефти и нефтепродуктов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5.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Индикативные (прогнозные) балансы газа, нефти и нефтепродуктов состоят из 2 балансирующихся блоков: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первый блок «Приходная часть - ресурсы» - характеризует структуру производства (добычи) и поставок газа, нефти, нефтепродуктов в государстве-члене и содержит следующие статьи (показатели):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«Производство (добыча)»;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«Прочие поступления»;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«Импорт из государств-членов»;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«Импорт из третьих государств»;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второй блок «Расходная часть - распределение» - характеризует структуру распределения газа, нефти, нефтепродуктов в государстве-члене и содержит следующие статьи (показатели):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«Экспорт в государства-члены»;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«Экспорт в третьи государства»;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«Поставка на внутренний рынок»;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«Потери».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6.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Особенности формирования отдельных статей (показателей) индикативных (прогнозных) балансов газа, нефти и нефтепродуктов определены в разделе IV настоящей Методологии.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7.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Значения показателей индикативных (прогнозных) балансов газа, нефти и нефтепродуктов приводятся в натуральных единицах измерения: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для газа - в миллиардах кубических метров;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для нефтяного сырья - в миллионах тонн;</w:t>
      </w:r>
    </w:p>
    <w:p w:rsidR="00DF7541" w:rsidRPr="00586196" w:rsidRDefault="00FD4B47" w:rsidP="002C721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для бензина автомобильного, топлива дизельного, мазута топочного и топлива для реактивных двигателей - в тысячах тонн.</w:t>
      </w:r>
    </w:p>
    <w:p w:rsidR="00DF7541" w:rsidRPr="00586196" w:rsidRDefault="00FD4B47" w:rsidP="00EE02DF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При формировании индикативных (прогнозных) балансов газа, нефти и нефтепродуктов государств-членов уполномоченные органы государств-членов проводят согласование друг с другом показателей импорта из государств-членов и экспорта в государства-члены для удовлетворения внутренних потребностей государств-членов. В индикативных (прогнозных) балансах газа, нефти и нефтепродуктов государств-членов и индикативных (прогнозных) балансах газа, нефти и нефтепродуктов Союза показатели, характеризующие импорт из третьих государств и экспорт в третьи государства, приводятся справочно и не требуют согласования Евразийской экономической комиссией и государствами-членами.</w:t>
      </w:r>
    </w:p>
    <w:p w:rsidR="00DF7541" w:rsidRPr="00D34075" w:rsidRDefault="00FD4B47" w:rsidP="00317EBC">
      <w:pPr>
        <w:pStyle w:val="Bodytext20"/>
        <w:shd w:val="clear" w:color="auto" w:fill="auto"/>
        <w:spacing w:after="360" w:line="240" w:lineRule="auto"/>
        <w:ind w:left="1134" w:right="112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IV.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Особенности формирования отдельных статей (показателей) индикативных (прогнозных) балансов</w:t>
      </w:r>
    </w:p>
    <w:p w:rsidR="00DF7541" w:rsidRPr="00C851CA" w:rsidRDefault="00FD4B47" w:rsidP="00317EBC">
      <w:pPr>
        <w:pStyle w:val="Bodytext20"/>
        <w:shd w:val="clear" w:color="auto" w:fill="auto"/>
        <w:spacing w:after="360" w:line="240" w:lineRule="auto"/>
        <w:ind w:left="1134" w:right="112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1.</w:t>
      </w:r>
      <w:r w:rsidRPr="00C851C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газа</w:t>
      </w:r>
    </w:p>
    <w:p w:rsidR="00DF7541" w:rsidRPr="00586196" w:rsidRDefault="00FD4B47" w:rsidP="00C851C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8.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газа государства-члена разрабатывается по форме согласно приложению № 1 к настоящей Методологии.</w:t>
      </w:r>
    </w:p>
    <w:p w:rsidR="00DF7541" w:rsidRPr="00586196" w:rsidRDefault="00FD4B47" w:rsidP="00C851C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9.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газа Союза формируется по форме согласно приложению № 2 к настоящей Методологии.</w:t>
      </w:r>
    </w:p>
    <w:p w:rsidR="00DF7541" w:rsidRPr="00586196" w:rsidRDefault="00FD4B47" w:rsidP="00C851C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10.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«Добыча газа, включая нефтяной попутный» указывается суммарный объем добычи из недр природного и попутного нефтяного газа.</w:t>
      </w:r>
    </w:p>
    <w:p w:rsidR="00DF7541" w:rsidRPr="00586196" w:rsidRDefault="00FD4B47" w:rsidP="00C851C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Объем попутного нефтяного газа, сожженного в факелах, в статью «Добыча газа, включая нефтяной попутный» не включается.</w:t>
      </w:r>
    </w:p>
    <w:p w:rsidR="00DF7541" w:rsidRPr="00586196" w:rsidRDefault="00FD4B47" w:rsidP="00C851C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Объем газа, закачанного обратно в пласт, в статью «Добыча газа, включая нефтяной попутный» не включается.</w:t>
      </w:r>
    </w:p>
    <w:p w:rsidR="00DF7541" w:rsidRPr="00586196" w:rsidRDefault="00FD4B47" w:rsidP="00C851C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11.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«Прочие поступления» учитываются газ стабилизации и деэтанизации конденсата газового, а также изменение запасов газа в подземных хранилищах газа и в газопроводных сетях.</w:t>
      </w:r>
    </w:p>
    <w:p w:rsidR="00DF7541" w:rsidRPr="00586196" w:rsidRDefault="00FD4B47" w:rsidP="00C851C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12.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«Импорт» выделяются субстатьи для отображения объемов импорта (поставок) газа трубопроводным транспортом.</w:t>
      </w:r>
    </w:p>
    <w:p w:rsidR="00DF7541" w:rsidRPr="00D34075" w:rsidRDefault="00FD4B47" w:rsidP="00032C3F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13.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«Экспорт» выделяются субстатьи для отображения объемов экспорта (поставок) газа трубопроводным транспортом и в виде сжиженного природного газа.</w:t>
      </w:r>
    </w:p>
    <w:p w:rsidR="00116843" w:rsidRPr="00D34075" w:rsidRDefault="00FD4B47" w:rsidP="00032C3F">
      <w:pPr>
        <w:pStyle w:val="Bodytext20"/>
        <w:shd w:val="clear" w:color="auto" w:fill="auto"/>
        <w:spacing w:after="36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нефтяного сырья</w:t>
      </w:r>
    </w:p>
    <w:p w:rsidR="00DF7541" w:rsidRPr="00586196" w:rsidRDefault="00FD4B47" w:rsidP="0011684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14.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нефтяного сырья государства-члена разрабатывается по форме согласно приложению № 3 к настоящей Методологии.</w:t>
      </w:r>
    </w:p>
    <w:p w:rsidR="00DF7541" w:rsidRPr="00586196" w:rsidRDefault="00FD4B47" w:rsidP="0011684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15.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нефтяного сырья Союза формируется по форме согласно приложению № 4 к настоящей Методологии.</w:t>
      </w:r>
    </w:p>
    <w:p w:rsidR="00DF7541" w:rsidRPr="00586196" w:rsidRDefault="00FD4B47" w:rsidP="0011684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16.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«Добыча нефти, включая газовый конденсат» указывается объем добычи нефтяного сырья из недр.</w:t>
      </w:r>
    </w:p>
    <w:p w:rsidR="00DF7541" w:rsidRPr="00586196" w:rsidRDefault="00FD4B47" w:rsidP="0011684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17.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«Прочие поступления» учитывается объем производства рекуперированного нефтяного сырья, а также изменение остатков нефтяного сырья в системе магистрального нефтепроводного транспорта, в резервуарах нефтеперерабатывающих заводов и недропользователей.</w:t>
      </w:r>
    </w:p>
    <w:p w:rsidR="00DF7541" w:rsidRPr="00586196" w:rsidRDefault="00FD4B47" w:rsidP="0011684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18.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«Импорт» выделяются субстатьи для отображения объемов импорта (поставок) нефтяного сырья трубопроводным транспортом.</w:t>
      </w:r>
    </w:p>
    <w:p w:rsidR="00DF7541" w:rsidRPr="00586196" w:rsidRDefault="00FD4B47" w:rsidP="0011684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19.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 xml:space="preserve">В статье «Экспорт» выделяются субстатьи для отображения объемов </w:t>
      </w:r>
      <w:r w:rsidRPr="00586196">
        <w:rPr>
          <w:rFonts w:ascii="Sylfaen" w:hAnsi="Sylfaen"/>
          <w:sz w:val="24"/>
          <w:szCs w:val="24"/>
        </w:rPr>
        <w:lastRenderedPageBreak/>
        <w:t>экспорта (поставок) нефтяного сырья трубопроводным транспортом.</w:t>
      </w:r>
    </w:p>
    <w:p w:rsidR="00DF7541" w:rsidRPr="00D34075" w:rsidRDefault="00FD4B47" w:rsidP="00032C3F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20.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Потери при добыче и стабилизации нефтяного сырья в статьи индикативного (прогнозного) баланса нефтяного сырья не включаются, кроме потерь нефтяного сырья, образующихся при транспортировке трубопроводным транспортом.</w:t>
      </w:r>
    </w:p>
    <w:p w:rsidR="00DF7541" w:rsidRPr="00090FC4" w:rsidRDefault="00FD4B47" w:rsidP="00032C3F">
      <w:pPr>
        <w:pStyle w:val="Bodytext20"/>
        <w:shd w:val="clear" w:color="auto" w:fill="auto"/>
        <w:spacing w:after="36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бензина автомобильного</w:t>
      </w:r>
    </w:p>
    <w:p w:rsidR="00DF7541" w:rsidRPr="00586196" w:rsidRDefault="00FD4B47" w:rsidP="000522C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21.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бензина автомобильного государства-члена разрабатывается по форме согласно приложению № 5 к настоящей Методологии.</w:t>
      </w:r>
    </w:p>
    <w:p w:rsidR="00DF7541" w:rsidRPr="00586196" w:rsidRDefault="00FD4B47" w:rsidP="000522C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22.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бензина автомобильного Союза формируется по форме согласно приложению № 6 к настоящей Методологии.</w:t>
      </w:r>
    </w:p>
    <w:p w:rsidR="00DF7541" w:rsidRPr="00586196" w:rsidRDefault="00FD4B47" w:rsidP="000522C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23.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«Производство» указывается объем производства бензина автомобильного на нефтеперерабатывающих заводах.</w:t>
      </w:r>
    </w:p>
    <w:p w:rsidR="00DF7541" w:rsidRPr="00586196" w:rsidRDefault="00FD4B47" w:rsidP="000522C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24.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«Прочие поступления» учитываются изменения запасов бензина автомобильного в системе магистрального</w:t>
      </w:r>
      <w:r w:rsidR="00090FC4" w:rsidRPr="00090FC4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нефтепродуктопроводного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транспорта,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резервуарах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нефтеперерабатывающих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заводов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предприятий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нефтепродуктообеспечения.</w:t>
      </w:r>
    </w:p>
    <w:p w:rsidR="00DF7541" w:rsidRPr="00586196" w:rsidRDefault="00FD4B47" w:rsidP="000522C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25.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«Импорт» субстатьи для отображения объемов импорта (поставок) бензина автомобильного трубопроводным транспортом не выделяются.</w:t>
      </w:r>
    </w:p>
    <w:p w:rsidR="00DF7541" w:rsidRPr="00D34075" w:rsidRDefault="00FD4B47" w:rsidP="00B059A9">
      <w:pPr>
        <w:pStyle w:val="Bodytext20"/>
        <w:shd w:val="clear" w:color="auto" w:fill="auto"/>
        <w:spacing w:after="3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26.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«Экспорт» субстатьи для отображения объемов экспорта (поставок) бензина автомобильного трубопроводным транспортом не выделяются.</w:t>
      </w:r>
    </w:p>
    <w:p w:rsidR="00DF7541" w:rsidRPr="005757C3" w:rsidRDefault="00FD4B47" w:rsidP="00B059A9">
      <w:pPr>
        <w:pStyle w:val="Bodytext20"/>
        <w:shd w:val="clear" w:color="auto" w:fill="auto"/>
        <w:spacing w:after="36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4.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топлива дизельного</w:t>
      </w:r>
    </w:p>
    <w:p w:rsidR="00DF7541" w:rsidRPr="00586196" w:rsidRDefault="00FD4B47" w:rsidP="00090FC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27.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топлива дизельного государства-члена разрабатывается по форме согласно приложению № 7 к настоящей Методологии.</w:t>
      </w:r>
    </w:p>
    <w:p w:rsidR="00DF7541" w:rsidRPr="00586196" w:rsidRDefault="00FD4B47" w:rsidP="00090FC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28.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топлива дизельного Союза формируется по форме согласно приложению № 8 к настоящей Методологии.</w:t>
      </w:r>
    </w:p>
    <w:p w:rsidR="00DF7541" w:rsidRPr="00586196" w:rsidRDefault="00FD4B47" w:rsidP="00090FC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29.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«Производство» указывается объем производства топлива дизельного на нефтеперерабатывающих заводах.</w:t>
      </w:r>
    </w:p>
    <w:p w:rsidR="00DF7541" w:rsidRPr="00586196" w:rsidRDefault="00FD4B47" w:rsidP="005757C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30.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«Прочие поступления» учитываются изменения</w:t>
      </w:r>
      <w:r w:rsidR="005757C3" w:rsidRPr="005757C3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запасов топлива дизельного в системе магистрального нефтепродуктопроводного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транспорта,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резервуарах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нефтеперерабатывающих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заводов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предприятий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нефтепродуктообеспечения.</w:t>
      </w:r>
    </w:p>
    <w:p w:rsidR="00DF7541" w:rsidRPr="00586196" w:rsidRDefault="00FD4B47" w:rsidP="00090FC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31.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«Импорт» субстатьи для отображения объемов импорта (поставок) топлива дизельного трубопроводным транспортом не выделяются.</w:t>
      </w:r>
    </w:p>
    <w:p w:rsidR="00DF7541" w:rsidRPr="00D34075" w:rsidRDefault="00FD4B47" w:rsidP="00B059A9">
      <w:pPr>
        <w:pStyle w:val="Bodytext20"/>
        <w:shd w:val="clear" w:color="auto" w:fill="auto"/>
        <w:spacing w:after="36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32.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 xml:space="preserve">В статье «Экспорт» субстатьи для отображения объемов экспорта (поставок) </w:t>
      </w:r>
      <w:r w:rsidRPr="00586196">
        <w:rPr>
          <w:rFonts w:ascii="Sylfaen" w:hAnsi="Sylfaen"/>
          <w:sz w:val="24"/>
          <w:szCs w:val="24"/>
        </w:rPr>
        <w:lastRenderedPageBreak/>
        <w:t>топлива дизельного трубопроводным транспортом не выделяются.</w:t>
      </w:r>
    </w:p>
    <w:p w:rsidR="00DF7541" w:rsidRPr="007339E3" w:rsidRDefault="00FD4B47" w:rsidP="00B059A9">
      <w:pPr>
        <w:pStyle w:val="Bodytext20"/>
        <w:shd w:val="clear" w:color="auto" w:fill="auto"/>
        <w:spacing w:after="36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5.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мазута топочного</w:t>
      </w:r>
    </w:p>
    <w:p w:rsidR="00DF7541" w:rsidRPr="00586196" w:rsidRDefault="00FD4B47" w:rsidP="007339E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33.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мазута топочного государства-члена разрабатывается по форме согласно приложению № 9 к настоящей Методологии.</w:t>
      </w:r>
    </w:p>
    <w:p w:rsidR="00DF7541" w:rsidRPr="00586196" w:rsidRDefault="00FD4B47" w:rsidP="007339E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34.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мазута топочного Союза формируется по форме согласно приложению № 10 к настоящей Методологии.</w:t>
      </w:r>
    </w:p>
    <w:p w:rsidR="00DF7541" w:rsidRPr="00586196" w:rsidRDefault="00FD4B47" w:rsidP="007339E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35.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«Производство» указывается объем товарного производства мазута топочного на нефтеперерабатывающих заводах. Расход на технологические нужды нефтеперерабатывающих заводов в балансах мазута топочного не включается.</w:t>
      </w:r>
    </w:p>
    <w:p w:rsidR="00DF7541" w:rsidRPr="00D34075" w:rsidRDefault="00FD4B47" w:rsidP="00B059A9">
      <w:pPr>
        <w:pStyle w:val="Bodytext20"/>
        <w:shd w:val="clear" w:color="auto" w:fill="auto"/>
        <w:spacing w:after="36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36.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«Прочие поступления» учитываются изменения запасов мазута топочного в резервуарах нефтеперерабатывающих заводов и предприятий нефтепродуктообеспечения.</w:t>
      </w:r>
    </w:p>
    <w:p w:rsidR="00DF7541" w:rsidRPr="007339E3" w:rsidRDefault="00FD4B47" w:rsidP="00B059A9">
      <w:pPr>
        <w:pStyle w:val="Bodytext20"/>
        <w:shd w:val="clear" w:color="auto" w:fill="auto"/>
        <w:spacing w:after="360" w:line="240" w:lineRule="auto"/>
        <w:ind w:left="1559" w:right="1973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6.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топлива для реактивных двигателей</w:t>
      </w:r>
    </w:p>
    <w:p w:rsidR="00DF7541" w:rsidRPr="00586196" w:rsidRDefault="00FD4B47" w:rsidP="002656A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37.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топлива для реактивных двигателей государства-члена разрабатывается по форме согласно приложению № 11 к настоящей Методологии.</w:t>
      </w:r>
    </w:p>
    <w:p w:rsidR="00DF7541" w:rsidRPr="00586196" w:rsidRDefault="00FD4B47" w:rsidP="002656A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38.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Индикативный (прогнозный) баланс топлива для реактивных двигателей Союза формируется по форме согласно приложению № 12 к настоящей Методологии.</w:t>
      </w:r>
    </w:p>
    <w:p w:rsidR="00DF7541" w:rsidRPr="00586196" w:rsidRDefault="00FD4B47" w:rsidP="002656A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39.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«Производство» указывается объем производства топлива для реактивных двигателей на нефтеперерабатывающих заводах.</w:t>
      </w:r>
    </w:p>
    <w:p w:rsidR="00DF7541" w:rsidRPr="00586196" w:rsidRDefault="00FD4B47" w:rsidP="002656A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40.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«Прочие поступления» учитываются изменения</w:t>
      </w:r>
      <w:r w:rsidR="002656A5" w:rsidRPr="002656A5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запасов топлива для реактивных двигателей в системе магистрального нефтепродуктопроводного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транспорта,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резервуарах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нефтеперерабатывающих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заводов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и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предприятий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нефтепродуктообеспечения.</w:t>
      </w:r>
    </w:p>
    <w:p w:rsidR="00DF7541" w:rsidRPr="00586196" w:rsidRDefault="00FD4B47" w:rsidP="002656A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41.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В статье «Импорт» субстатьи для отображения объемов импорта (поставок) топлива для реактивных двигателей трубопроводным транспортом не выделяются.</w:t>
      </w:r>
    </w:p>
    <w:p w:rsidR="00DF7541" w:rsidRPr="00586196" w:rsidRDefault="00FD4B47" w:rsidP="00A545A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42.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 xml:space="preserve">В статье «Экспорт» субстатьи для отображения объемов экспорта (поставок) топлива для реактивных двигателей трубопроводным транспортом не выделяются. </w:t>
      </w:r>
    </w:p>
    <w:p w:rsidR="00A545AB" w:rsidRDefault="00A545AB">
      <w:pPr>
        <w:rPr>
          <w:rFonts w:eastAsia="Times New Roman" w:cs="Times New Roman"/>
        </w:rPr>
      </w:pPr>
      <w:r>
        <w:br w:type="page"/>
      </w:r>
    </w:p>
    <w:p w:rsidR="00DF7541" w:rsidRPr="00D34075" w:rsidRDefault="00FD4B47" w:rsidP="00FF2AB6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D34075">
        <w:rPr>
          <w:rFonts w:ascii="Sylfaen" w:hAnsi="Sylfaen"/>
          <w:sz w:val="24"/>
          <w:szCs w:val="24"/>
        </w:rPr>
        <w:lastRenderedPageBreak/>
        <w:t>ПРИЛОЖЕНИЕ № 1</w:t>
      </w:r>
    </w:p>
    <w:p w:rsidR="00DF7541" w:rsidRPr="005A43E1" w:rsidRDefault="00FD4B47" w:rsidP="00FF2AB6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D34075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D34075">
        <w:rPr>
          <w:rFonts w:ascii="Sylfaen" w:hAnsi="Sylfaen"/>
          <w:sz w:val="24"/>
          <w:szCs w:val="24"/>
        </w:rPr>
        <w:t xml:space="preserve"> </w:t>
      </w:r>
      <w:r w:rsidRPr="00D34075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D34075">
        <w:rPr>
          <w:rFonts w:ascii="Sylfaen" w:hAnsi="Sylfaen"/>
          <w:sz w:val="24"/>
          <w:szCs w:val="24"/>
        </w:rPr>
        <w:t xml:space="preserve"> </w:t>
      </w:r>
      <w:r w:rsidRPr="00D34075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D34075">
        <w:rPr>
          <w:rFonts w:ascii="Sylfaen" w:hAnsi="Sylfaen"/>
          <w:sz w:val="24"/>
          <w:szCs w:val="24"/>
        </w:rPr>
        <w:t xml:space="preserve"> </w:t>
      </w:r>
      <w:r w:rsidRPr="00D34075">
        <w:rPr>
          <w:rFonts w:ascii="Sylfaen" w:hAnsi="Sylfaen"/>
          <w:sz w:val="24"/>
          <w:szCs w:val="24"/>
        </w:rPr>
        <w:t>экономического союза</w:t>
      </w:r>
    </w:p>
    <w:p w:rsidR="00FF2AB6" w:rsidRPr="005A43E1" w:rsidRDefault="00FF2AB6" w:rsidP="00FF2AB6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</w:p>
    <w:p w:rsidR="00DF7541" w:rsidRPr="00D34075" w:rsidRDefault="00FD4B47" w:rsidP="00586196">
      <w:pPr>
        <w:pStyle w:val="Bodytext100"/>
        <w:shd w:val="clear" w:color="auto" w:fill="auto"/>
        <w:spacing w:before="0" w:after="120" w:line="240" w:lineRule="auto"/>
        <w:ind w:right="320"/>
        <w:rPr>
          <w:rFonts w:ascii="Sylfaen" w:hAnsi="Sylfaen"/>
          <w:sz w:val="24"/>
          <w:szCs w:val="24"/>
        </w:rPr>
      </w:pPr>
      <w:r w:rsidRPr="00D34075">
        <w:rPr>
          <w:rFonts w:ascii="Sylfaen" w:hAnsi="Sylfaen"/>
          <w:sz w:val="24"/>
          <w:szCs w:val="24"/>
        </w:rPr>
        <w:t>Индикативный (прогнозный) баланс газа</w:t>
      </w:r>
    </w:p>
    <w:p w:rsidR="00D34075" w:rsidRPr="00EA23D3" w:rsidRDefault="00FD4B47" w:rsidP="00FF2AB6">
      <w:pPr>
        <w:pStyle w:val="Bodytext100"/>
        <w:shd w:val="clear" w:color="auto" w:fill="auto"/>
        <w:spacing w:before="0" w:after="0" w:line="240" w:lineRule="auto"/>
        <w:ind w:right="318"/>
        <w:rPr>
          <w:rFonts w:ascii="Sylfaen" w:hAnsi="Sylfaen"/>
          <w:sz w:val="24"/>
          <w:szCs w:val="24"/>
        </w:rPr>
      </w:pPr>
      <w:r w:rsidRPr="00D34075">
        <w:rPr>
          <w:rFonts w:ascii="Sylfaen" w:hAnsi="Sylfaen"/>
          <w:sz w:val="24"/>
          <w:szCs w:val="24"/>
        </w:rPr>
        <w:t>____________________________________________________________________</w:t>
      </w:r>
      <w:r w:rsidR="002573AB" w:rsidRPr="00EA23D3">
        <w:rPr>
          <w:rFonts w:ascii="Sylfaen" w:hAnsi="Sylfaen"/>
          <w:sz w:val="24"/>
          <w:szCs w:val="24"/>
        </w:rPr>
        <w:t>____</w:t>
      </w:r>
    </w:p>
    <w:p w:rsidR="00DF7541" w:rsidRPr="00FF2AB6" w:rsidRDefault="00FD4B47" w:rsidP="00D34075">
      <w:pPr>
        <w:pStyle w:val="Bodytext100"/>
        <w:shd w:val="clear" w:color="auto" w:fill="auto"/>
        <w:spacing w:before="0" w:after="120" w:line="240" w:lineRule="auto"/>
        <w:ind w:right="320"/>
        <w:rPr>
          <w:rFonts w:ascii="Sylfaen" w:hAnsi="Sylfaen"/>
          <w:b w:val="0"/>
          <w:sz w:val="20"/>
          <w:szCs w:val="20"/>
        </w:rPr>
      </w:pPr>
      <w:r w:rsidRPr="00FF2AB6">
        <w:rPr>
          <w:rStyle w:val="Bodytext91"/>
          <w:rFonts w:ascii="Sylfaen" w:hAnsi="Sylfaen"/>
          <w:b w:val="0"/>
          <w:sz w:val="20"/>
          <w:szCs w:val="20"/>
        </w:rPr>
        <w:t>(наименование государства - члена Евразийского экономического союза)</w:t>
      </w:r>
    </w:p>
    <w:p w:rsidR="00DF7541" w:rsidRPr="00EA23D3" w:rsidRDefault="00FD4B47" w:rsidP="00D34075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D34075">
        <w:rPr>
          <w:rFonts w:ascii="Sylfaen" w:hAnsi="Sylfaen"/>
          <w:sz w:val="24"/>
          <w:szCs w:val="24"/>
        </w:rPr>
        <w:t>на 20__- 20__годы</w:t>
      </w:r>
    </w:p>
    <w:p w:rsidR="002573AB" w:rsidRPr="00EA23D3" w:rsidRDefault="002573AB" w:rsidP="00D34075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DF7541" w:rsidRPr="00586196" w:rsidRDefault="00FD4B47" w:rsidP="00D34075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D34075">
        <w:rPr>
          <w:rFonts w:ascii="Sylfaen" w:hAnsi="Sylfaen"/>
        </w:rPr>
        <w:t>(млрд</w:t>
      </w:r>
      <w:r w:rsidRPr="00586196">
        <w:rPr>
          <w:rFonts w:ascii="Sylfaen" w:hAnsi="Sylfaen"/>
        </w:rPr>
        <w:t>. куб. м)</w:t>
      </w:r>
    </w:p>
    <w:tbl>
      <w:tblPr>
        <w:tblOverlap w:val="never"/>
        <w:tblW w:w="8201" w:type="dxa"/>
        <w:tblInd w:w="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4"/>
        <w:gridCol w:w="1369"/>
        <w:gridCol w:w="1325"/>
        <w:gridCol w:w="539"/>
        <w:gridCol w:w="534"/>
        <w:gridCol w:w="550"/>
      </w:tblGrid>
      <w:tr w:rsidR="00DF7541" w:rsidRPr="00586196" w:rsidTr="002336EE"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2336EE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A623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FD592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4A6236" w:rsidRPr="00586196" w:rsidTr="002336EE">
        <w:tc>
          <w:tcPr>
            <w:tcW w:w="38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3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4A6236" w:rsidRPr="00586196" w:rsidTr="002336EE">
        <w:tc>
          <w:tcPr>
            <w:tcW w:w="38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743189">
            <w:pPr>
              <w:pStyle w:val="Bodytext20"/>
              <w:shd w:val="clear" w:color="auto" w:fill="auto"/>
              <w:spacing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</w:t>
            </w:r>
          </w:p>
          <w:p w:rsidR="00DF7541" w:rsidRPr="00586196" w:rsidRDefault="00FD4B47" w:rsidP="005D5435">
            <w:pPr>
              <w:pStyle w:val="Bodytext20"/>
              <w:shd w:val="clear" w:color="auto" w:fill="auto"/>
              <w:spacing w:line="240" w:lineRule="auto"/>
              <w:ind w:left="415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Добыча газа, включая нефтяной попутный</w:t>
            </w:r>
            <w:r w:rsidR="00211AE2" w:rsidRPr="00211AE2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2"/>
              <w:t>*</w:t>
            </w:r>
          </w:p>
          <w:p w:rsidR="006866A7" w:rsidRPr="006866A7" w:rsidRDefault="006866A7" w:rsidP="005D5435">
            <w:pPr>
              <w:pStyle w:val="Bodytext20"/>
              <w:shd w:val="clear" w:color="auto" w:fill="auto"/>
              <w:spacing w:line="240" w:lineRule="auto"/>
              <w:ind w:left="415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Прочие поступления</w:t>
            </w:r>
          </w:p>
          <w:p w:rsidR="005D5435" w:rsidRPr="00EA23D3" w:rsidRDefault="00FD4B47" w:rsidP="005D5435">
            <w:pPr>
              <w:pStyle w:val="Bodytext20"/>
              <w:shd w:val="clear" w:color="auto" w:fill="auto"/>
              <w:spacing w:line="240" w:lineRule="auto"/>
              <w:ind w:left="415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  <w:p w:rsidR="00DF7541" w:rsidRPr="00586196" w:rsidRDefault="00FD4B47" w:rsidP="001B0A04">
            <w:pPr>
              <w:pStyle w:val="Bodytext20"/>
              <w:shd w:val="clear" w:color="auto" w:fill="auto"/>
              <w:spacing w:after="120" w:line="240" w:lineRule="auto"/>
              <w:ind w:left="557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  <w:r w:rsidR="001B0A04" w:rsidRPr="001B0A04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3"/>
              <w:t>**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4A6236" w:rsidRPr="00586196" w:rsidTr="002336EE">
        <w:tc>
          <w:tcPr>
            <w:tcW w:w="3884" w:type="dxa"/>
            <w:shd w:val="clear" w:color="auto" w:fill="FFFFFF"/>
            <w:vAlign w:val="bottom"/>
          </w:tcPr>
          <w:p w:rsidR="007A1B11" w:rsidRPr="007A1B11" w:rsidRDefault="00FD4B47" w:rsidP="00231C2D">
            <w:pPr>
              <w:pStyle w:val="Bodytext20"/>
              <w:shd w:val="clear" w:color="auto" w:fill="auto"/>
              <w:spacing w:line="240" w:lineRule="auto"/>
              <w:ind w:left="1407" w:hanging="567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FD4B47" w:rsidP="007A1B11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3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4A6236" w:rsidRPr="00586196" w:rsidTr="002336EE">
        <w:tc>
          <w:tcPr>
            <w:tcW w:w="3884" w:type="dxa"/>
            <w:shd w:val="clear" w:color="auto" w:fill="FFFFFF"/>
            <w:vAlign w:val="bottom"/>
          </w:tcPr>
          <w:p w:rsidR="007A1B11" w:rsidRPr="007A1B11" w:rsidRDefault="00FD4B47" w:rsidP="00E154CE">
            <w:pPr>
              <w:pStyle w:val="Bodytext20"/>
              <w:shd w:val="clear" w:color="auto" w:fill="auto"/>
              <w:spacing w:line="240" w:lineRule="auto"/>
              <w:ind w:left="1407" w:hanging="567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DF7541" w:rsidRPr="00586196" w:rsidRDefault="00FD4B47" w:rsidP="007A1B11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3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4A6236" w:rsidRPr="00586196" w:rsidTr="002336EE">
        <w:tc>
          <w:tcPr>
            <w:tcW w:w="3884" w:type="dxa"/>
            <w:shd w:val="clear" w:color="auto" w:fill="FFFFFF"/>
            <w:vAlign w:val="bottom"/>
          </w:tcPr>
          <w:p w:rsidR="007A1B11" w:rsidRPr="00231C2D" w:rsidRDefault="00FD4B47" w:rsidP="00E154CE">
            <w:pPr>
              <w:pStyle w:val="Bodytext20"/>
              <w:shd w:val="clear" w:color="auto" w:fill="auto"/>
              <w:spacing w:line="240" w:lineRule="auto"/>
              <w:ind w:left="1407" w:hanging="567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DF7541" w:rsidRPr="005617AE" w:rsidRDefault="00FD4B47" w:rsidP="00231C2D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3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691479" w:rsidRPr="00586196" w:rsidTr="00743189">
        <w:trPr>
          <w:trHeight w:val="540"/>
        </w:trPr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479" w:rsidRDefault="00691479" w:rsidP="00743189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479" w:rsidRPr="00586196" w:rsidRDefault="00691479" w:rsidP="005128B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20__год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479" w:rsidRPr="00586196" w:rsidRDefault="00691479" w:rsidP="005128B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20__году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479" w:rsidRPr="00586196" w:rsidRDefault="00691479" w:rsidP="0069147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5128B2" w:rsidRPr="00586196" w:rsidTr="005617AE">
        <w:trPr>
          <w:trHeight w:val="525"/>
        </w:trPr>
        <w:tc>
          <w:tcPr>
            <w:tcW w:w="3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8B2" w:rsidRPr="00586196" w:rsidRDefault="005128B2" w:rsidP="005128B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B2" w:rsidRPr="00586196" w:rsidRDefault="005128B2" w:rsidP="005128B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B2" w:rsidRPr="00586196" w:rsidRDefault="005128B2" w:rsidP="005128B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B2" w:rsidRPr="00586196" w:rsidRDefault="00691479" w:rsidP="004B2DB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926750">
              <w:rPr>
                <w:rStyle w:val="Bodytext212pt"/>
                <w:rFonts w:ascii="Sylfaen" w:hAnsi="Sylfaen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B2" w:rsidRPr="00586196" w:rsidRDefault="00691479" w:rsidP="004B2DB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B2" w:rsidRPr="00586196" w:rsidRDefault="00691479" w:rsidP="004B2DB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4A6236" w:rsidRPr="00586196" w:rsidTr="005617AE">
        <w:tc>
          <w:tcPr>
            <w:tcW w:w="3884" w:type="dxa"/>
            <w:tcBorders>
              <w:top w:val="single" w:sz="4" w:space="0" w:color="auto"/>
            </w:tcBorders>
            <w:shd w:val="clear" w:color="auto" w:fill="FFFFFF"/>
          </w:tcPr>
          <w:p w:rsidR="001B0A04" w:rsidRPr="004D1E86" w:rsidRDefault="00FD4B47" w:rsidP="001B0A04">
            <w:pPr>
              <w:pStyle w:val="Bodytext20"/>
              <w:shd w:val="clear" w:color="auto" w:fill="auto"/>
              <w:spacing w:line="240" w:lineRule="auto"/>
              <w:ind w:left="1338" w:hanging="499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 </w:t>
            </w:r>
            <w:r w:rsidR="001B0A04"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DF7541" w:rsidRPr="00586196" w:rsidRDefault="001B0A04" w:rsidP="001B0A04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1B0A04" w:rsidRPr="00586196" w:rsidTr="001B0A04">
        <w:tc>
          <w:tcPr>
            <w:tcW w:w="3884" w:type="dxa"/>
            <w:shd w:val="clear" w:color="auto" w:fill="FFFFFF"/>
          </w:tcPr>
          <w:p w:rsidR="001B0A04" w:rsidRPr="00EA23D3" w:rsidRDefault="001B0A04" w:rsidP="001B0A04">
            <w:pPr>
              <w:pStyle w:val="Bodytext20"/>
              <w:shd w:val="clear" w:color="auto" w:fill="auto"/>
              <w:spacing w:line="240" w:lineRule="auto"/>
              <w:ind w:left="1407" w:hanging="567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1B0A04" w:rsidRPr="00586196" w:rsidRDefault="001B0A04" w:rsidP="005617AE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369" w:type="dxa"/>
            <w:shd w:val="clear" w:color="auto" w:fill="FFFFFF"/>
          </w:tcPr>
          <w:p w:rsidR="001B0A04" w:rsidRPr="00586196" w:rsidRDefault="001B0A04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1B0A04" w:rsidRPr="00586196" w:rsidRDefault="001B0A04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1B0A04" w:rsidRPr="00586196" w:rsidRDefault="001B0A04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1B0A04" w:rsidRPr="00586196" w:rsidRDefault="001B0A04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1B0A04" w:rsidRPr="00586196" w:rsidRDefault="001B0A04" w:rsidP="00586196">
            <w:pPr>
              <w:spacing w:after="120"/>
            </w:pPr>
          </w:p>
        </w:tc>
      </w:tr>
      <w:tr w:rsidR="003A27CD" w:rsidRPr="00586196" w:rsidTr="00C62A01">
        <w:trPr>
          <w:trHeight w:val="1335"/>
        </w:trPr>
        <w:tc>
          <w:tcPr>
            <w:tcW w:w="3884" w:type="dxa"/>
            <w:shd w:val="clear" w:color="auto" w:fill="FFFFFF"/>
          </w:tcPr>
          <w:p w:rsidR="008352F9" w:rsidRPr="008352F9" w:rsidRDefault="00D07861" w:rsidP="00DF5CB3">
            <w:pPr>
              <w:pStyle w:val="Bodytext20"/>
              <w:shd w:val="clear" w:color="auto" w:fill="auto"/>
              <w:spacing w:line="240" w:lineRule="auto"/>
              <w:ind w:left="1338" w:right="45" w:hanging="499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третьих государств*</w:t>
            </w:r>
          </w:p>
          <w:p w:rsidR="003A27CD" w:rsidRPr="00586196" w:rsidRDefault="00D07861" w:rsidP="00943128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</w:t>
            </w:r>
            <w:r w:rsidR="004B2DB7" w:rsidRPr="00EA23D3">
              <w:rPr>
                <w:rStyle w:val="Bodytext212pt"/>
                <w:rFonts w:ascii="Sylfaen" w:hAnsi="Sylfaen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трубопроводным</w:t>
            </w:r>
            <w:r w:rsidR="00943128" w:rsidRPr="00EA23D3">
              <w:rPr>
                <w:rStyle w:val="Bodytext212pt"/>
                <w:rFonts w:ascii="Sylfaen" w:hAnsi="Sylfaen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транспортом</w:t>
            </w:r>
          </w:p>
        </w:tc>
        <w:tc>
          <w:tcPr>
            <w:tcW w:w="1369" w:type="dxa"/>
            <w:shd w:val="clear" w:color="auto" w:fill="FFFFFF"/>
          </w:tcPr>
          <w:p w:rsidR="003A27CD" w:rsidRPr="00586196" w:rsidRDefault="003A27CD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3A27CD" w:rsidRPr="00586196" w:rsidRDefault="003A27CD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3A27CD" w:rsidRPr="00586196" w:rsidRDefault="003A27CD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3A27CD" w:rsidRPr="00586196" w:rsidRDefault="003A27CD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3A27CD" w:rsidRPr="00586196" w:rsidRDefault="003A27CD" w:rsidP="00586196">
            <w:pPr>
              <w:spacing w:after="120"/>
            </w:pPr>
          </w:p>
        </w:tc>
      </w:tr>
      <w:tr w:rsidR="00943128" w:rsidRPr="00586196" w:rsidTr="00C62A01">
        <w:trPr>
          <w:trHeight w:val="1245"/>
        </w:trPr>
        <w:tc>
          <w:tcPr>
            <w:tcW w:w="3884" w:type="dxa"/>
            <w:shd w:val="clear" w:color="auto" w:fill="FFFFFF"/>
          </w:tcPr>
          <w:p w:rsidR="00DF5CB3" w:rsidRPr="007571FF" w:rsidRDefault="00DF5CB3" w:rsidP="00743189">
            <w:pPr>
              <w:pStyle w:val="Bodytext20"/>
              <w:shd w:val="clear" w:color="auto" w:fill="auto"/>
              <w:spacing w:line="240" w:lineRule="auto"/>
              <w:ind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Расходная часть – распределение</w:t>
            </w:r>
          </w:p>
          <w:p w:rsidR="00943128" w:rsidRPr="00EA23D3" w:rsidRDefault="00943128" w:rsidP="008C0DB4">
            <w:pPr>
              <w:pStyle w:val="Bodytext20"/>
              <w:shd w:val="clear" w:color="auto" w:fill="auto"/>
              <w:spacing w:line="240" w:lineRule="auto"/>
              <w:ind w:left="415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Экспорт</w:t>
            </w:r>
          </w:p>
          <w:p w:rsidR="00943128" w:rsidRPr="00EA23D3" w:rsidRDefault="00943128" w:rsidP="008C0DB4">
            <w:pPr>
              <w:pStyle w:val="Bodytext20"/>
              <w:shd w:val="clear" w:color="auto" w:fill="auto"/>
              <w:spacing w:after="120" w:line="240" w:lineRule="auto"/>
              <w:ind w:left="557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государства-члены</w:t>
            </w:r>
            <w:r w:rsidR="0025310B" w:rsidRPr="00EA23D3">
              <w:rPr>
                <w:rStyle w:val="Bodytext212pt"/>
                <w:rFonts w:ascii="Sylfaen" w:hAnsi="Sylfaen"/>
              </w:rPr>
              <w:t>**</w:t>
            </w:r>
          </w:p>
        </w:tc>
        <w:tc>
          <w:tcPr>
            <w:tcW w:w="1369" w:type="dxa"/>
            <w:shd w:val="clear" w:color="auto" w:fill="FFFFFF"/>
          </w:tcPr>
          <w:p w:rsidR="00943128" w:rsidRPr="00586196" w:rsidRDefault="00943128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943128" w:rsidRPr="00586196" w:rsidRDefault="00943128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943128" w:rsidRPr="00586196" w:rsidRDefault="00943128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943128" w:rsidRPr="00586196" w:rsidRDefault="00943128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943128" w:rsidRPr="00586196" w:rsidRDefault="00943128" w:rsidP="00586196">
            <w:pPr>
              <w:spacing w:after="120"/>
            </w:pPr>
          </w:p>
        </w:tc>
      </w:tr>
      <w:tr w:rsidR="00C62A01" w:rsidRPr="00586196" w:rsidTr="00C62A01">
        <w:trPr>
          <w:trHeight w:val="1245"/>
        </w:trPr>
        <w:tc>
          <w:tcPr>
            <w:tcW w:w="3884" w:type="dxa"/>
            <w:shd w:val="clear" w:color="auto" w:fill="FFFFFF"/>
          </w:tcPr>
          <w:p w:rsidR="001B7EC2" w:rsidRPr="001B7EC2" w:rsidRDefault="001B7EC2" w:rsidP="00C62A01">
            <w:pPr>
              <w:pStyle w:val="Bodytext20"/>
              <w:shd w:val="clear" w:color="auto" w:fill="auto"/>
              <w:spacing w:line="240" w:lineRule="auto"/>
              <w:ind w:left="1338" w:right="45" w:hanging="499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C62A01" w:rsidRDefault="00C62A01" w:rsidP="001B7EC2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369" w:type="dxa"/>
            <w:shd w:val="clear" w:color="auto" w:fill="FFFFFF"/>
          </w:tcPr>
          <w:p w:rsidR="00C62A01" w:rsidRPr="00586196" w:rsidRDefault="00C62A01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C62A01" w:rsidRPr="00586196" w:rsidRDefault="00C62A01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C62A01" w:rsidRPr="00586196" w:rsidRDefault="00C62A01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C62A01" w:rsidRPr="00586196" w:rsidRDefault="00C62A01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C62A01" w:rsidRPr="00586196" w:rsidRDefault="00C62A01" w:rsidP="00586196">
            <w:pPr>
              <w:spacing w:after="120"/>
            </w:pPr>
          </w:p>
        </w:tc>
      </w:tr>
      <w:tr w:rsidR="00C62A01" w:rsidRPr="00586196" w:rsidTr="00C62A01">
        <w:trPr>
          <w:trHeight w:val="1245"/>
        </w:trPr>
        <w:tc>
          <w:tcPr>
            <w:tcW w:w="3884" w:type="dxa"/>
            <w:shd w:val="clear" w:color="auto" w:fill="FFFFFF"/>
          </w:tcPr>
          <w:p w:rsidR="001B7EC2" w:rsidRPr="001B7EC2" w:rsidRDefault="00C62A01" w:rsidP="001B7EC2">
            <w:pPr>
              <w:pStyle w:val="Bodytext20"/>
              <w:shd w:val="clear" w:color="auto" w:fill="auto"/>
              <w:spacing w:line="240" w:lineRule="auto"/>
              <w:ind w:left="1338" w:right="45" w:hanging="499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C62A01" w:rsidRPr="00586196" w:rsidRDefault="00C62A01" w:rsidP="001B7EC2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369" w:type="dxa"/>
            <w:shd w:val="clear" w:color="auto" w:fill="FFFFFF"/>
          </w:tcPr>
          <w:p w:rsidR="00C62A01" w:rsidRPr="00586196" w:rsidRDefault="00C62A01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C62A01" w:rsidRPr="00586196" w:rsidRDefault="00C62A01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C62A01" w:rsidRPr="00586196" w:rsidRDefault="00C62A01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C62A01" w:rsidRPr="00586196" w:rsidRDefault="00C62A01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C62A01" w:rsidRPr="00586196" w:rsidRDefault="00C62A01" w:rsidP="00586196">
            <w:pPr>
              <w:spacing w:after="120"/>
            </w:pPr>
          </w:p>
        </w:tc>
      </w:tr>
      <w:tr w:rsidR="00E07FD7" w:rsidRPr="00586196" w:rsidTr="00E07FD7">
        <w:trPr>
          <w:trHeight w:val="990"/>
        </w:trPr>
        <w:tc>
          <w:tcPr>
            <w:tcW w:w="3884" w:type="dxa"/>
            <w:shd w:val="clear" w:color="auto" w:fill="FFFFFF"/>
          </w:tcPr>
          <w:p w:rsidR="001B7EC2" w:rsidRPr="001B7EC2" w:rsidRDefault="001B7EC2" w:rsidP="00C62A01">
            <w:pPr>
              <w:pStyle w:val="Bodytext20"/>
              <w:shd w:val="clear" w:color="auto" w:fill="auto"/>
              <w:spacing w:line="240" w:lineRule="auto"/>
              <w:ind w:left="1338" w:right="45" w:hanging="499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E07FD7" w:rsidRPr="00E07FD7" w:rsidRDefault="00E07FD7" w:rsidP="001B7EC2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</w:t>
            </w:r>
            <w:r w:rsidRPr="00E07FD7">
              <w:rPr>
                <w:rStyle w:val="Bodytext212pt"/>
                <w:rFonts w:ascii="Sylfaen" w:hAnsi="Sylfaen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транспортом</w:t>
            </w:r>
          </w:p>
        </w:tc>
        <w:tc>
          <w:tcPr>
            <w:tcW w:w="1369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</w:tr>
      <w:tr w:rsidR="00E07FD7" w:rsidRPr="00586196" w:rsidTr="00E07FD7">
        <w:trPr>
          <w:trHeight w:val="990"/>
        </w:trPr>
        <w:tc>
          <w:tcPr>
            <w:tcW w:w="3884" w:type="dxa"/>
            <w:shd w:val="clear" w:color="auto" w:fill="FFFFFF"/>
          </w:tcPr>
          <w:p w:rsidR="001B7EC2" w:rsidRPr="001B7EC2" w:rsidRDefault="001B7EC2" w:rsidP="00C62A01">
            <w:pPr>
              <w:pStyle w:val="Bodytext20"/>
              <w:shd w:val="clear" w:color="auto" w:fill="auto"/>
              <w:spacing w:line="240" w:lineRule="auto"/>
              <w:ind w:left="1338" w:right="45" w:hanging="499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E07FD7" w:rsidRPr="00586196" w:rsidRDefault="00E07FD7" w:rsidP="001B7EC2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369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</w:tr>
      <w:tr w:rsidR="00E07FD7" w:rsidRPr="00586196" w:rsidTr="00E07FD7">
        <w:trPr>
          <w:trHeight w:val="990"/>
        </w:trPr>
        <w:tc>
          <w:tcPr>
            <w:tcW w:w="3884" w:type="dxa"/>
            <w:shd w:val="clear" w:color="auto" w:fill="FFFFFF"/>
          </w:tcPr>
          <w:p w:rsidR="001B7EC2" w:rsidRPr="001B7EC2" w:rsidRDefault="001B7EC2" w:rsidP="00C62A01">
            <w:pPr>
              <w:pStyle w:val="Bodytext20"/>
              <w:shd w:val="clear" w:color="auto" w:fill="auto"/>
              <w:spacing w:line="240" w:lineRule="auto"/>
              <w:ind w:left="1338" w:right="45" w:hanging="499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E07FD7" w:rsidRPr="00586196" w:rsidRDefault="00E07FD7" w:rsidP="001B7EC2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369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</w:tr>
      <w:tr w:rsidR="00E07FD7" w:rsidRPr="00586196" w:rsidTr="00E07FD7">
        <w:trPr>
          <w:trHeight w:val="990"/>
        </w:trPr>
        <w:tc>
          <w:tcPr>
            <w:tcW w:w="3884" w:type="dxa"/>
            <w:shd w:val="clear" w:color="auto" w:fill="FFFFFF"/>
          </w:tcPr>
          <w:p w:rsidR="001B7EC2" w:rsidRPr="001B7EC2" w:rsidRDefault="001B7EC2" w:rsidP="00C62A01">
            <w:pPr>
              <w:pStyle w:val="Bodytext20"/>
              <w:shd w:val="clear" w:color="auto" w:fill="auto"/>
              <w:spacing w:line="240" w:lineRule="auto"/>
              <w:ind w:left="1338" w:right="45" w:hanging="499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lastRenderedPageBreak/>
              <w:t>в третьи государства</w:t>
            </w:r>
            <w:r w:rsidR="00B967F9" w:rsidRPr="00B967F9">
              <w:rPr>
                <w:sz w:val="20"/>
                <w:szCs w:val="20"/>
              </w:rPr>
              <w:t>*</w:t>
            </w:r>
          </w:p>
          <w:p w:rsidR="00E07FD7" w:rsidRPr="00586196" w:rsidRDefault="00E07FD7" w:rsidP="001B7EC2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</w:tc>
        <w:tc>
          <w:tcPr>
            <w:tcW w:w="1369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E07FD7" w:rsidRPr="00586196" w:rsidRDefault="00E07FD7" w:rsidP="00586196">
            <w:pPr>
              <w:spacing w:after="120"/>
            </w:pPr>
          </w:p>
        </w:tc>
      </w:tr>
      <w:tr w:rsidR="00E4666A" w:rsidRPr="00586196" w:rsidTr="00E07FD7">
        <w:trPr>
          <w:trHeight w:val="990"/>
        </w:trPr>
        <w:tc>
          <w:tcPr>
            <w:tcW w:w="3884" w:type="dxa"/>
            <w:shd w:val="clear" w:color="auto" w:fill="FFFFFF"/>
          </w:tcPr>
          <w:p w:rsidR="00E4666A" w:rsidRPr="009C1BBA" w:rsidRDefault="00E4666A" w:rsidP="00E4666A">
            <w:pPr>
              <w:pStyle w:val="Bodytext20"/>
              <w:shd w:val="clear" w:color="auto" w:fill="auto"/>
              <w:spacing w:line="240" w:lineRule="auto"/>
              <w:ind w:left="1407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виде сжиженного природного газа</w:t>
            </w:r>
          </w:p>
          <w:p w:rsidR="00E4666A" w:rsidRDefault="00E4666A" w:rsidP="00F279C6">
            <w:pPr>
              <w:pStyle w:val="Bodytext20"/>
              <w:shd w:val="clear" w:color="auto" w:fill="auto"/>
              <w:spacing w:line="240" w:lineRule="auto"/>
              <w:ind w:left="415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369" w:type="dxa"/>
            <w:shd w:val="clear" w:color="auto" w:fill="FFFFFF"/>
          </w:tcPr>
          <w:p w:rsidR="00E4666A" w:rsidRPr="00586196" w:rsidRDefault="00E4666A" w:rsidP="00586196">
            <w:pPr>
              <w:spacing w:after="120"/>
            </w:pPr>
          </w:p>
        </w:tc>
        <w:tc>
          <w:tcPr>
            <w:tcW w:w="1325" w:type="dxa"/>
            <w:shd w:val="clear" w:color="auto" w:fill="FFFFFF"/>
          </w:tcPr>
          <w:p w:rsidR="00E4666A" w:rsidRPr="00586196" w:rsidRDefault="00E4666A" w:rsidP="00586196">
            <w:pPr>
              <w:spacing w:after="120"/>
            </w:pPr>
          </w:p>
        </w:tc>
        <w:tc>
          <w:tcPr>
            <w:tcW w:w="539" w:type="dxa"/>
            <w:shd w:val="clear" w:color="auto" w:fill="FFFFFF"/>
          </w:tcPr>
          <w:p w:rsidR="00E4666A" w:rsidRPr="00586196" w:rsidRDefault="00E4666A" w:rsidP="00586196">
            <w:pPr>
              <w:spacing w:after="120"/>
            </w:pPr>
          </w:p>
        </w:tc>
        <w:tc>
          <w:tcPr>
            <w:tcW w:w="534" w:type="dxa"/>
            <w:shd w:val="clear" w:color="auto" w:fill="FFFFFF"/>
          </w:tcPr>
          <w:p w:rsidR="00E4666A" w:rsidRPr="00586196" w:rsidRDefault="00E4666A" w:rsidP="00586196">
            <w:pPr>
              <w:spacing w:after="120"/>
            </w:pPr>
          </w:p>
        </w:tc>
        <w:tc>
          <w:tcPr>
            <w:tcW w:w="550" w:type="dxa"/>
            <w:shd w:val="clear" w:color="auto" w:fill="FFFFFF"/>
          </w:tcPr>
          <w:p w:rsidR="00E4666A" w:rsidRPr="00586196" w:rsidRDefault="00E4666A" w:rsidP="00586196">
            <w:pPr>
              <w:spacing w:after="120"/>
            </w:pPr>
          </w:p>
        </w:tc>
      </w:tr>
    </w:tbl>
    <w:p w:rsidR="00B967F9" w:rsidRDefault="00B967F9"/>
    <w:p w:rsidR="00F90E24" w:rsidRDefault="00F90E24">
      <w:r>
        <w:br w:type="page"/>
      </w:r>
    </w:p>
    <w:p w:rsidR="00DF7541" w:rsidRPr="00586196" w:rsidRDefault="00FD4B47" w:rsidP="000A419C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ПРИЛОЖЕНИЕ № 2</w:t>
      </w:r>
    </w:p>
    <w:p w:rsidR="00DF7541" w:rsidRDefault="00FD4B47" w:rsidP="000A419C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0A419C" w:rsidRPr="00586196" w:rsidRDefault="000A419C" w:rsidP="00586196">
      <w:pPr>
        <w:pStyle w:val="Bodytext20"/>
        <w:shd w:val="clear" w:color="auto" w:fill="auto"/>
        <w:spacing w:after="120" w:line="240" w:lineRule="auto"/>
        <w:ind w:right="380" w:firstLine="0"/>
        <w:jc w:val="center"/>
        <w:rPr>
          <w:rFonts w:ascii="Sylfaen" w:hAnsi="Sylfaen"/>
          <w:sz w:val="24"/>
          <w:szCs w:val="24"/>
        </w:rPr>
      </w:pPr>
    </w:p>
    <w:p w:rsidR="00F02D8A" w:rsidRDefault="00FD4B47" w:rsidP="00F02D8A">
      <w:pPr>
        <w:pStyle w:val="Bodytext100"/>
        <w:shd w:val="clear" w:color="auto" w:fill="auto"/>
        <w:spacing w:before="0" w:after="0" w:line="240" w:lineRule="auto"/>
        <w:ind w:left="2268" w:right="2444"/>
        <w:rPr>
          <w:rFonts w:ascii="Sylfaen" w:hAnsi="Sylfaen"/>
          <w:sz w:val="24"/>
          <w:szCs w:val="24"/>
          <w:lang w:val="hy-AM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 баланс газа Ев</w:t>
      </w:r>
      <w:r w:rsidR="00F02D8A">
        <w:rPr>
          <w:rFonts w:ascii="Sylfaen" w:hAnsi="Sylfaen"/>
          <w:sz w:val="24"/>
          <w:szCs w:val="24"/>
        </w:rPr>
        <w:t>разийского экономического союза</w:t>
      </w:r>
    </w:p>
    <w:p w:rsidR="00DF7541" w:rsidRPr="00586196" w:rsidRDefault="00FD4B47" w:rsidP="00FE5E39">
      <w:pPr>
        <w:pStyle w:val="Bodytext100"/>
        <w:shd w:val="clear" w:color="auto" w:fill="auto"/>
        <w:spacing w:before="0" w:after="120" w:line="240" w:lineRule="auto"/>
        <w:ind w:left="2268" w:right="2443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-</w:t>
      </w:r>
      <w:r w:rsidRPr="00586196">
        <w:rPr>
          <w:rFonts w:ascii="Sylfaen" w:hAnsi="Sylfaen"/>
          <w:sz w:val="24"/>
          <w:szCs w:val="24"/>
        </w:rPr>
        <w:t xml:space="preserve"> 20__годы</w:t>
      </w:r>
    </w:p>
    <w:p w:rsidR="00DF7541" w:rsidRPr="00586196" w:rsidRDefault="00FD4B47" w:rsidP="007C1CFD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(млрд. куб. м)</w:t>
      </w:r>
    </w:p>
    <w:tbl>
      <w:tblPr>
        <w:tblOverlap w:val="never"/>
        <w:tblW w:w="91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7"/>
        <w:gridCol w:w="1426"/>
        <w:gridCol w:w="1472"/>
        <w:gridCol w:w="649"/>
        <w:gridCol w:w="651"/>
        <w:gridCol w:w="652"/>
      </w:tblGrid>
      <w:tr w:rsidR="00DF7541" w:rsidRPr="00586196" w:rsidTr="006F6FC7">
        <w:trPr>
          <w:jc w:val="center"/>
        </w:trPr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  <w:r w:rsidR="00F238E6" w:rsidRPr="00F238E6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4"/>
              <w:t>*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6F6FC7">
        <w:trPr>
          <w:jc w:val="center"/>
        </w:trPr>
        <w:tc>
          <w:tcPr>
            <w:tcW w:w="42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4A24B1"/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4A24B1"/>
        </w:tc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4A24B1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="00CC47AA">
              <w:rPr>
                <w:rStyle w:val="Bodytext212pt"/>
                <w:rFonts w:ascii="Sylfaen" w:hAnsi="Sylfaen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6F6FC7">
        <w:trPr>
          <w:jc w:val="center"/>
        </w:trPr>
        <w:tc>
          <w:tcPr>
            <w:tcW w:w="42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4A24B1"/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4A24B1"/>
        </w:tc>
        <w:tc>
          <w:tcPr>
            <w:tcW w:w="64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4A24B1"/>
        </w:tc>
        <w:tc>
          <w:tcPr>
            <w:tcW w:w="651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4A24B1"/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4A24B1"/>
        </w:tc>
      </w:tr>
      <w:tr w:rsidR="00DF7541" w:rsidRPr="00586196" w:rsidTr="006F6FC7">
        <w:trPr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left="415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Добыча газа, включая нефтяной попутный</w:t>
            </w:r>
            <w:r w:rsidR="00E44938" w:rsidRPr="00E44938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5"/>
              <w:t>**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4A24B1"/>
        </w:tc>
        <w:tc>
          <w:tcPr>
            <w:tcW w:w="1472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49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1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2" w:type="dxa"/>
            <w:shd w:val="clear" w:color="auto" w:fill="FFFFFF"/>
          </w:tcPr>
          <w:p w:rsidR="00DF7541" w:rsidRPr="00586196" w:rsidRDefault="00DF7541" w:rsidP="004A24B1"/>
        </w:tc>
      </w:tr>
      <w:tr w:rsidR="00DF7541" w:rsidRPr="00586196" w:rsidTr="006F6FC7">
        <w:trPr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4A24B1"/>
        </w:tc>
        <w:tc>
          <w:tcPr>
            <w:tcW w:w="1472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49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1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2" w:type="dxa"/>
            <w:shd w:val="clear" w:color="auto" w:fill="FFFFFF"/>
          </w:tcPr>
          <w:p w:rsidR="00DF7541" w:rsidRPr="00586196" w:rsidRDefault="00DF7541" w:rsidP="004A24B1"/>
        </w:tc>
      </w:tr>
      <w:tr w:rsidR="00DF7541" w:rsidRPr="00586196" w:rsidTr="006F6FC7">
        <w:trPr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4A24B1"/>
        </w:tc>
        <w:tc>
          <w:tcPr>
            <w:tcW w:w="1472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49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1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2" w:type="dxa"/>
            <w:shd w:val="clear" w:color="auto" w:fill="FFFFFF"/>
          </w:tcPr>
          <w:p w:rsidR="00DF7541" w:rsidRPr="00586196" w:rsidRDefault="00DF7541" w:rsidP="004A24B1"/>
        </w:tc>
      </w:tr>
      <w:tr w:rsidR="00DF7541" w:rsidRPr="00586196" w:rsidTr="006F6FC7">
        <w:trPr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4A24B1"/>
        </w:tc>
        <w:tc>
          <w:tcPr>
            <w:tcW w:w="1472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49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1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2" w:type="dxa"/>
            <w:shd w:val="clear" w:color="auto" w:fill="FFFFFF"/>
          </w:tcPr>
          <w:p w:rsidR="00DF7541" w:rsidRPr="00586196" w:rsidRDefault="00DF7541" w:rsidP="004A24B1"/>
        </w:tc>
      </w:tr>
      <w:tr w:rsidR="00DF7541" w:rsidRPr="00586196" w:rsidTr="006F6FC7">
        <w:trPr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4A24B1"/>
        </w:tc>
        <w:tc>
          <w:tcPr>
            <w:tcW w:w="1472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49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1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2" w:type="dxa"/>
            <w:shd w:val="clear" w:color="auto" w:fill="FFFFFF"/>
          </w:tcPr>
          <w:p w:rsidR="00DF7541" w:rsidRPr="00586196" w:rsidRDefault="00DF7541" w:rsidP="004A24B1"/>
        </w:tc>
      </w:tr>
      <w:tr w:rsidR="00DF7541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4A24B1"/>
        </w:tc>
        <w:tc>
          <w:tcPr>
            <w:tcW w:w="1472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49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1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2" w:type="dxa"/>
            <w:shd w:val="clear" w:color="auto" w:fill="FFFFFF"/>
          </w:tcPr>
          <w:p w:rsidR="00DF7541" w:rsidRPr="00586196" w:rsidRDefault="00DF7541" w:rsidP="004A24B1"/>
        </w:tc>
      </w:tr>
      <w:tr w:rsidR="00DF7541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DF7541" w:rsidRPr="00586196" w:rsidRDefault="00FD4B47" w:rsidP="004A24B1">
            <w:pPr>
              <w:pStyle w:val="Bodytext20"/>
              <w:shd w:val="clear" w:color="auto" w:fill="auto"/>
              <w:spacing w:line="240" w:lineRule="auto"/>
              <w:ind w:left="415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4A24B1"/>
        </w:tc>
        <w:tc>
          <w:tcPr>
            <w:tcW w:w="1472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49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1" w:type="dxa"/>
            <w:shd w:val="clear" w:color="auto" w:fill="FFFFFF"/>
          </w:tcPr>
          <w:p w:rsidR="00DF7541" w:rsidRPr="00586196" w:rsidRDefault="00DF7541" w:rsidP="004A24B1"/>
        </w:tc>
        <w:tc>
          <w:tcPr>
            <w:tcW w:w="652" w:type="dxa"/>
            <w:shd w:val="clear" w:color="auto" w:fill="FFFFFF"/>
          </w:tcPr>
          <w:p w:rsidR="00DF7541" w:rsidRPr="00586196" w:rsidRDefault="00DF7541" w:rsidP="004A24B1"/>
        </w:tc>
      </w:tr>
      <w:tr w:rsidR="004A24B1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4A24B1" w:rsidRPr="00586196" w:rsidRDefault="004A24B1" w:rsidP="008B1A11">
            <w:pPr>
              <w:pStyle w:val="Bodytext20"/>
              <w:shd w:val="clear" w:color="auto" w:fill="auto"/>
              <w:spacing w:line="240" w:lineRule="auto"/>
              <w:ind w:left="72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26" w:type="dxa"/>
            <w:shd w:val="clear" w:color="auto" w:fill="FFFFFF"/>
          </w:tcPr>
          <w:p w:rsidR="004A24B1" w:rsidRPr="00586196" w:rsidRDefault="004A24B1" w:rsidP="004A24B1"/>
        </w:tc>
        <w:tc>
          <w:tcPr>
            <w:tcW w:w="1472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49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51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52" w:type="dxa"/>
            <w:shd w:val="clear" w:color="auto" w:fill="FFFFFF"/>
          </w:tcPr>
          <w:p w:rsidR="004A24B1" w:rsidRPr="00586196" w:rsidRDefault="004A24B1" w:rsidP="004A24B1"/>
        </w:tc>
      </w:tr>
      <w:tr w:rsidR="004A24B1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4A24B1" w:rsidRPr="00586196" w:rsidRDefault="004A24B1" w:rsidP="008B1A11">
            <w:pPr>
              <w:pStyle w:val="Bodytext20"/>
              <w:shd w:val="clear" w:color="auto" w:fill="auto"/>
              <w:spacing w:line="240" w:lineRule="auto"/>
              <w:ind w:left="72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26" w:type="dxa"/>
            <w:shd w:val="clear" w:color="auto" w:fill="FFFFFF"/>
          </w:tcPr>
          <w:p w:rsidR="004A24B1" w:rsidRPr="00586196" w:rsidRDefault="004A24B1" w:rsidP="004A24B1"/>
        </w:tc>
        <w:tc>
          <w:tcPr>
            <w:tcW w:w="1472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49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51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52" w:type="dxa"/>
            <w:shd w:val="clear" w:color="auto" w:fill="FFFFFF"/>
          </w:tcPr>
          <w:p w:rsidR="004A24B1" w:rsidRPr="00586196" w:rsidRDefault="004A24B1" w:rsidP="004A24B1"/>
        </w:tc>
      </w:tr>
      <w:tr w:rsidR="004A24B1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4A24B1" w:rsidRPr="00586196" w:rsidRDefault="004A24B1" w:rsidP="008B1A11">
            <w:pPr>
              <w:pStyle w:val="Bodytext20"/>
              <w:shd w:val="clear" w:color="auto" w:fill="auto"/>
              <w:spacing w:line="240" w:lineRule="auto"/>
              <w:ind w:left="72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26" w:type="dxa"/>
            <w:shd w:val="clear" w:color="auto" w:fill="FFFFFF"/>
          </w:tcPr>
          <w:p w:rsidR="004A24B1" w:rsidRPr="00586196" w:rsidRDefault="004A24B1" w:rsidP="004A24B1"/>
        </w:tc>
        <w:tc>
          <w:tcPr>
            <w:tcW w:w="1472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49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51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52" w:type="dxa"/>
            <w:shd w:val="clear" w:color="auto" w:fill="FFFFFF"/>
          </w:tcPr>
          <w:p w:rsidR="004A24B1" w:rsidRPr="00586196" w:rsidRDefault="004A24B1" w:rsidP="004A24B1"/>
        </w:tc>
      </w:tr>
      <w:tr w:rsidR="004A24B1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4A24B1" w:rsidRPr="00586196" w:rsidRDefault="008B1A11" w:rsidP="008B1A11">
            <w:pPr>
              <w:pStyle w:val="Bodytext20"/>
              <w:shd w:val="clear" w:color="auto" w:fill="auto"/>
              <w:spacing w:line="240" w:lineRule="auto"/>
              <w:ind w:left="72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26" w:type="dxa"/>
            <w:shd w:val="clear" w:color="auto" w:fill="FFFFFF"/>
          </w:tcPr>
          <w:p w:rsidR="004A24B1" w:rsidRPr="00586196" w:rsidRDefault="004A24B1" w:rsidP="004A24B1"/>
        </w:tc>
        <w:tc>
          <w:tcPr>
            <w:tcW w:w="1472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49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51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52" w:type="dxa"/>
            <w:shd w:val="clear" w:color="auto" w:fill="FFFFFF"/>
          </w:tcPr>
          <w:p w:rsidR="004A24B1" w:rsidRPr="00586196" w:rsidRDefault="004A24B1" w:rsidP="004A24B1"/>
        </w:tc>
      </w:tr>
      <w:tr w:rsidR="004A24B1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4A24B1" w:rsidRPr="00586196" w:rsidRDefault="008B1A11" w:rsidP="008B1A11">
            <w:pPr>
              <w:pStyle w:val="Bodytext20"/>
              <w:shd w:val="clear" w:color="auto" w:fill="auto"/>
              <w:spacing w:line="240" w:lineRule="auto"/>
              <w:ind w:left="72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4A24B1" w:rsidRPr="00586196" w:rsidRDefault="004A24B1" w:rsidP="004A24B1"/>
        </w:tc>
        <w:tc>
          <w:tcPr>
            <w:tcW w:w="1472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49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51" w:type="dxa"/>
            <w:shd w:val="clear" w:color="auto" w:fill="FFFFFF"/>
          </w:tcPr>
          <w:p w:rsidR="004A24B1" w:rsidRPr="00586196" w:rsidRDefault="004A24B1" w:rsidP="004A24B1"/>
        </w:tc>
        <w:tc>
          <w:tcPr>
            <w:tcW w:w="652" w:type="dxa"/>
            <w:shd w:val="clear" w:color="auto" w:fill="FFFFFF"/>
          </w:tcPr>
          <w:p w:rsidR="004A24B1" w:rsidRPr="00586196" w:rsidRDefault="004A24B1" w:rsidP="004A24B1"/>
        </w:tc>
      </w:tr>
      <w:tr w:rsidR="00DF7541" w:rsidRPr="00586196" w:rsidTr="006F6FC7">
        <w:trPr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DF7541" w:rsidRPr="00586196" w:rsidRDefault="00FD4B47" w:rsidP="00832258">
            <w:pPr>
              <w:pStyle w:val="Bodytext20"/>
              <w:shd w:val="clear" w:color="auto" w:fill="auto"/>
              <w:spacing w:line="240" w:lineRule="auto"/>
              <w:ind w:left="4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  <w:r w:rsidR="000673E1">
              <w:rPr>
                <w:rStyle w:val="Bodytext212pt"/>
                <w:rFonts w:ascii="Sylfaen" w:hAnsi="Sylfaen"/>
              </w:rPr>
              <w:t xml:space="preserve"> 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5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5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6F6FC7">
        <w:trPr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7342A8" w:rsidRDefault="007342A8" w:rsidP="006F72FD">
            <w:pPr>
              <w:pStyle w:val="Bodytext20"/>
              <w:shd w:val="clear" w:color="auto" w:fill="auto"/>
              <w:spacing w:line="240" w:lineRule="auto"/>
              <w:ind w:left="1161" w:right="642" w:hanging="283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 в Республику Беларусь</w:t>
            </w:r>
          </w:p>
          <w:p w:rsidR="00DF7541" w:rsidRPr="00586196" w:rsidRDefault="00FD4B47" w:rsidP="007342A8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5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5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4A24B1" w:rsidRDefault="004A24B1">
      <w:r>
        <w:br w:type="page"/>
      </w:r>
    </w:p>
    <w:tbl>
      <w:tblPr>
        <w:tblOverlap w:val="never"/>
        <w:tblW w:w="91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7"/>
        <w:gridCol w:w="1426"/>
        <w:gridCol w:w="1472"/>
        <w:gridCol w:w="649"/>
        <w:gridCol w:w="651"/>
        <w:gridCol w:w="652"/>
      </w:tblGrid>
      <w:tr w:rsidR="006F6FC7" w:rsidRPr="00586196" w:rsidTr="0080671B">
        <w:trPr>
          <w:trHeight w:val="615"/>
          <w:jc w:val="center"/>
        </w:trPr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FC7" w:rsidRPr="00586196" w:rsidRDefault="006F6FC7" w:rsidP="003F6AE5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FC7" w:rsidRPr="00586196" w:rsidRDefault="006F6FC7" w:rsidP="003F6AE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FC7" w:rsidRPr="00586196" w:rsidRDefault="006F6FC7" w:rsidP="003F6AE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FC7" w:rsidRPr="00586196" w:rsidRDefault="006F6FC7" w:rsidP="003F6AE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6F6FC7" w:rsidRPr="00586196" w:rsidTr="0080671B">
        <w:trPr>
          <w:trHeight w:val="450"/>
          <w:jc w:val="center"/>
        </w:trPr>
        <w:tc>
          <w:tcPr>
            <w:tcW w:w="4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FC7" w:rsidRPr="00586196" w:rsidRDefault="006F6FC7" w:rsidP="00586196">
            <w:pPr>
              <w:pStyle w:val="Bodytext20"/>
              <w:shd w:val="clear" w:color="auto" w:fill="auto"/>
              <w:spacing w:after="120" w:line="240" w:lineRule="auto"/>
              <w:ind w:left="1640" w:hanging="300"/>
              <w:rPr>
                <w:rStyle w:val="Bodytext212pt"/>
                <w:rFonts w:ascii="Sylfaen" w:hAnsi="Sylfaen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FC7" w:rsidRPr="00586196" w:rsidRDefault="006F6FC7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FC7" w:rsidRPr="00586196" w:rsidRDefault="006F6FC7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FC7" w:rsidRPr="00586196" w:rsidRDefault="003F6AE5" w:rsidP="003F6AE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FC7" w:rsidRPr="00586196" w:rsidRDefault="003F6AE5" w:rsidP="003F6AE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FC7" w:rsidRPr="00586196" w:rsidRDefault="003F6AE5" w:rsidP="003F6AE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6F6FC7" w:rsidRPr="00586196" w:rsidTr="0080671B">
        <w:trPr>
          <w:jc w:val="center"/>
        </w:trPr>
        <w:tc>
          <w:tcPr>
            <w:tcW w:w="4287" w:type="dxa"/>
            <w:tcBorders>
              <w:top w:val="single" w:sz="4" w:space="0" w:color="auto"/>
            </w:tcBorders>
            <w:shd w:val="clear" w:color="auto" w:fill="FFFFFF"/>
          </w:tcPr>
          <w:p w:rsidR="0080671B" w:rsidRDefault="006F6FC7" w:rsidP="0080671B">
            <w:pPr>
              <w:pStyle w:val="Bodytext20"/>
              <w:shd w:val="clear" w:color="auto" w:fill="auto"/>
              <w:spacing w:line="240" w:lineRule="auto"/>
              <w:ind w:left="1161" w:right="642" w:hanging="283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</w:t>
            </w:r>
            <w:r w:rsidR="0080671B">
              <w:rPr>
                <w:rStyle w:val="Bodytext212pt"/>
                <w:rFonts w:ascii="Sylfaen" w:hAnsi="Sylfaen"/>
              </w:rPr>
              <w:t>ан</w:t>
            </w:r>
          </w:p>
          <w:p w:rsidR="006F6FC7" w:rsidRPr="00586196" w:rsidRDefault="006F6FC7" w:rsidP="0080671B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6F6FC7" w:rsidRPr="00586196" w:rsidRDefault="006F6FC7" w:rsidP="00586196">
            <w:pPr>
              <w:spacing w:after="120"/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</w:tcPr>
          <w:p w:rsidR="006F6FC7" w:rsidRPr="00586196" w:rsidRDefault="006F6FC7" w:rsidP="00586196">
            <w:pPr>
              <w:spacing w:after="120"/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FFFFFF"/>
          </w:tcPr>
          <w:p w:rsidR="006F6FC7" w:rsidRPr="00586196" w:rsidRDefault="006F6FC7" w:rsidP="00586196">
            <w:pPr>
              <w:spacing w:after="120"/>
            </w:pP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FFFFFF"/>
          </w:tcPr>
          <w:p w:rsidR="006F6FC7" w:rsidRPr="00586196" w:rsidRDefault="006F6FC7" w:rsidP="00586196">
            <w:pPr>
              <w:spacing w:after="120"/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</w:tcPr>
          <w:p w:rsidR="006F6FC7" w:rsidRPr="00586196" w:rsidRDefault="006F6FC7" w:rsidP="00586196">
            <w:pPr>
              <w:spacing w:after="120"/>
            </w:pPr>
          </w:p>
        </w:tc>
      </w:tr>
      <w:tr w:rsidR="006F6FC7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7432A3" w:rsidRDefault="007432A3" w:rsidP="007432A3">
            <w:pPr>
              <w:pStyle w:val="Bodytext20"/>
              <w:shd w:val="clear" w:color="auto" w:fill="auto"/>
              <w:spacing w:line="240" w:lineRule="auto"/>
              <w:ind w:left="1161" w:right="412" w:hanging="283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6F6FC7" w:rsidRPr="00586196" w:rsidRDefault="007432A3" w:rsidP="007432A3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6F6FC7" w:rsidRPr="00586196" w:rsidRDefault="006F6FC7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6F6FC7" w:rsidRPr="00586196" w:rsidRDefault="006F6FC7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6F6FC7" w:rsidRPr="00586196" w:rsidRDefault="006F6FC7" w:rsidP="00586196">
            <w:pPr>
              <w:spacing w:after="120"/>
            </w:pPr>
          </w:p>
        </w:tc>
        <w:tc>
          <w:tcPr>
            <w:tcW w:w="651" w:type="dxa"/>
            <w:shd w:val="clear" w:color="auto" w:fill="FFFFFF"/>
          </w:tcPr>
          <w:p w:rsidR="006F6FC7" w:rsidRPr="00586196" w:rsidRDefault="006F6FC7" w:rsidP="00586196">
            <w:pPr>
              <w:spacing w:after="120"/>
            </w:pPr>
          </w:p>
        </w:tc>
        <w:tc>
          <w:tcPr>
            <w:tcW w:w="652" w:type="dxa"/>
            <w:shd w:val="clear" w:color="auto" w:fill="FFFFFF"/>
          </w:tcPr>
          <w:p w:rsidR="006F6FC7" w:rsidRPr="00586196" w:rsidRDefault="006F6FC7" w:rsidP="00586196">
            <w:pPr>
              <w:spacing w:after="120"/>
            </w:pPr>
          </w:p>
        </w:tc>
      </w:tr>
      <w:tr w:rsidR="009F2C24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9F2C24" w:rsidRDefault="009F2C24" w:rsidP="007432A3">
            <w:pPr>
              <w:pStyle w:val="Bodytext20"/>
              <w:shd w:val="clear" w:color="auto" w:fill="auto"/>
              <w:spacing w:line="240" w:lineRule="auto"/>
              <w:ind w:left="1161" w:right="412" w:hanging="283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9F2C24" w:rsidRPr="00586196" w:rsidRDefault="009F2C24" w:rsidP="009F2C24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9F2C24" w:rsidRPr="00586196" w:rsidRDefault="009F2C24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9F2C24" w:rsidRPr="00586196" w:rsidRDefault="009F2C24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9F2C24" w:rsidRPr="00586196" w:rsidRDefault="009F2C24" w:rsidP="00586196">
            <w:pPr>
              <w:spacing w:after="120"/>
            </w:pPr>
          </w:p>
        </w:tc>
        <w:tc>
          <w:tcPr>
            <w:tcW w:w="651" w:type="dxa"/>
            <w:shd w:val="clear" w:color="auto" w:fill="FFFFFF"/>
          </w:tcPr>
          <w:p w:rsidR="009F2C24" w:rsidRPr="00586196" w:rsidRDefault="009F2C24" w:rsidP="00586196">
            <w:pPr>
              <w:spacing w:after="120"/>
            </w:pPr>
          </w:p>
        </w:tc>
        <w:tc>
          <w:tcPr>
            <w:tcW w:w="652" w:type="dxa"/>
            <w:shd w:val="clear" w:color="auto" w:fill="FFFFFF"/>
          </w:tcPr>
          <w:p w:rsidR="009F2C24" w:rsidRPr="00586196" w:rsidRDefault="009F2C24" w:rsidP="00586196">
            <w:pPr>
              <w:spacing w:after="120"/>
            </w:pPr>
          </w:p>
        </w:tc>
      </w:tr>
      <w:tr w:rsidR="000673E1" w:rsidRPr="00586196" w:rsidTr="00B125F8">
        <w:trPr>
          <w:trHeight w:val="1653"/>
          <w:jc w:val="center"/>
        </w:trPr>
        <w:tc>
          <w:tcPr>
            <w:tcW w:w="4287" w:type="dxa"/>
            <w:shd w:val="clear" w:color="auto" w:fill="FFFFFF"/>
          </w:tcPr>
          <w:p w:rsidR="002C5B66" w:rsidRDefault="000673E1" w:rsidP="00F14996">
            <w:pPr>
              <w:pStyle w:val="Bodytext20"/>
              <w:shd w:val="clear" w:color="auto" w:fill="auto"/>
              <w:spacing w:line="240" w:lineRule="auto"/>
              <w:ind w:left="878" w:right="936" w:hanging="283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</w:t>
            </w:r>
            <w:r w:rsidR="002C5B66">
              <w:rPr>
                <w:rStyle w:val="Bodytext212pt"/>
                <w:rFonts w:ascii="Sylfaen" w:hAnsi="Sylfaen"/>
              </w:rPr>
              <w:t>и Беларусь в Республику Армения</w:t>
            </w:r>
          </w:p>
          <w:p w:rsidR="000673E1" w:rsidRDefault="000673E1" w:rsidP="002C5B66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0673E1" w:rsidRPr="00586196" w:rsidRDefault="000673E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0673E1" w:rsidRPr="00586196" w:rsidRDefault="000673E1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0673E1" w:rsidRPr="00586196" w:rsidRDefault="000673E1" w:rsidP="00586196">
            <w:pPr>
              <w:spacing w:after="120"/>
            </w:pPr>
          </w:p>
        </w:tc>
        <w:tc>
          <w:tcPr>
            <w:tcW w:w="651" w:type="dxa"/>
            <w:shd w:val="clear" w:color="auto" w:fill="FFFFFF"/>
          </w:tcPr>
          <w:p w:rsidR="000673E1" w:rsidRPr="00586196" w:rsidRDefault="000673E1" w:rsidP="00586196">
            <w:pPr>
              <w:spacing w:after="120"/>
            </w:pPr>
          </w:p>
        </w:tc>
        <w:tc>
          <w:tcPr>
            <w:tcW w:w="652" w:type="dxa"/>
            <w:shd w:val="clear" w:color="auto" w:fill="FFFFFF"/>
          </w:tcPr>
          <w:p w:rsidR="000673E1" w:rsidRPr="00586196" w:rsidRDefault="000673E1" w:rsidP="00586196">
            <w:pPr>
              <w:spacing w:after="120"/>
            </w:pPr>
          </w:p>
        </w:tc>
      </w:tr>
      <w:tr w:rsidR="00F14996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195DF9" w:rsidRDefault="00195DF9" w:rsidP="00195DF9">
            <w:pPr>
              <w:pStyle w:val="Bodytext20"/>
              <w:shd w:val="clear" w:color="auto" w:fill="auto"/>
              <w:spacing w:line="240" w:lineRule="auto"/>
              <w:ind w:left="878" w:right="554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F14996" w:rsidRPr="00586196" w:rsidRDefault="00195DF9" w:rsidP="00195DF9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F14996" w:rsidRPr="00586196" w:rsidRDefault="00F14996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F14996" w:rsidRPr="00586196" w:rsidRDefault="00F14996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F14996" w:rsidRPr="00586196" w:rsidRDefault="00F14996" w:rsidP="00586196">
            <w:pPr>
              <w:spacing w:after="120"/>
            </w:pPr>
          </w:p>
        </w:tc>
        <w:tc>
          <w:tcPr>
            <w:tcW w:w="651" w:type="dxa"/>
            <w:shd w:val="clear" w:color="auto" w:fill="FFFFFF"/>
          </w:tcPr>
          <w:p w:rsidR="00F14996" w:rsidRPr="00586196" w:rsidRDefault="00F14996" w:rsidP="00586196">
            <w:pPr>
              <w:spacing w:after="120"/>
            </w:pPr>
          </w:p>
        </w:tc>
        <w:tc>
          <w:tcPr>
            <w:tcW w:w="652" w:type="dxa"/>
            <w:shd w:val="clear" w:color="auto" w:fill="FFFFFF"/>
          </w:tcPr>
          <w:p w:rsidR="00F14996" w:rsidRPr="00586196" w:rsidRDefault="00F14996" w:rsidP="00586196">
            <w:pPr>
              <w:spacing w:after="120"/>
            </w:pPr>
          </w:p>
        </w:tc>
      </w:tr>
      <w:tr w:rsidR="003C6E57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3C6E57" w:rsidRDefault="003C6E57" w:rsidP="003C6E57">
            <w:pPr>
              <w:pStyle w:val="Bodytext20"/>
              <w:shd w:val="clear" w:color="auto" w:fill="auto"/>
              <w:spacing w:line="240" w:lineRule="auto"/>
              <w:ind w:left="878" w:right="271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3C6E57" w:rsidRDefault="003C6E57" w:rsidP="003C6E57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651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652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</w:tr>
      <w:tr w:rsidR="003C6E57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3C6E57" w:rsidRDefault="003C6E57" w:rsidP="003C6E57">
            <w:pPr>
              <w:pStyle w:val="Bodytext20"/>
              <w:shd w:val="clear" w:color="auto" w:fill="auto"/>
              <w:spacing w:line="240" w:lineRule="auto"/>
              <w:ind w:left="878" w:right="271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3C6E57" w:rsidRDefault="003C6E57" w:rsidP="003C6E57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651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652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</w:tr>
      <w:tr w:rsidR="003C6E57" w:rsidRPr="00586196" w:rsidTr="006F6FC7">
        <w:trPr>
          <w:jc w:val="center"/>
        </w:trPr>
        <w:tc>
          <w:tcPr>
            <w:tcW w:w="4287" w:type="dxa"/>
            <w:shd w:val="clear" w:color="auto" w:fill="FFFFFF"/>
          </w:tcPr>
          <w:p w:rsidR="00B125F8" w:rsidRDefault="003C6E57" w:rsidP="003C6E57">
            <w:pPr>
              <w:pStyle w:val="Bodytext20"/>
              <w:shd w:val="clear" w:color="auto" w:fill="auto"/>
              <w:spacing w:line="240" w:lineRule="auto"/>
              <w:ind w:left="878" w:right="936" w:hanging="283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</w:t>
            </w:r>
            <w:r w:rsidR="00B125F8">
              <w:rPr>
                <w:rStyle w:val="Bodytext212pt"/>
                <w:rFonts w:ascii="Sylfaen" w:hAnsi="Sylfaen"/>
              </w:rPr>
              <w:t xml:space="preserve"> Казахстан в Республику Армения</w:t>
            </w:r>
          </w:p>
          <w:p w:rsidR="003C6E57" w:rsidRDefault="003C6E57" w:rsidP="00B125F8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651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  <w:tc>
          <w:tcPr>
            <w:tcW w:w="652" w:type="dxa"/>
            <w:shd w:val="clear" w:color="auto" w:fill="FFFFFF"/>
          </w:tcPr>
          <w:p w:rsidR="003C6E57" w:rsidRPr="00586196" w:rsidRDefault="003C6E57" w:rsidP="00586196">
            <w:pPr>
              <w:spacing w:after="120"/>
            </w:pPr>
          </w:p>
        </w:tc>
      </w:tr>
    </w:tbl>
    <w:p w:rsidR="00B125F8" w:rsidRDefault="00B125F8" w:rsidP="00586196">
      <w:pPr>
        <w:spacing w:after="120"/>
      </w:pPr>
    </w:p>
    <w:tbl>
      <w:tblPr>
        <w:tblOverlap w:val="never"/>
        <w:tblW w:w="8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1440"/>
        <w:gridCol w:w="1454"/>
        <w:gridCol w:w="573"/>
        <w:gridCol w:w="567"/>
        <w:gridCol w:w="589"/>
      </w:tblGrid>
      <w:tr w:rsidR="00DF7541" w:rsidRPr="00586196" w:rsidTr="005A12F1">
        <w:trPr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B125F8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B125F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B125F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5A12F1">
        <w:trPr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="005A12F1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5A12F1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12F1" w:rsidRDefault="005A12F1" w:rsidP="005A12F1">
            <w:pPr>
              <w:pStyle w:val="Bodytext20"/>
              <w:shd w:val="clear" w:color="auto" w:fill="auto"/>
              <w:spacing w:line="240" w:lineRule="auto"/>
              <w:ind w:left="1639" w:hanging="873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DF7541" w:rsidRPr="00586196" w:rsidRDefault="005A12F1" w:rsidP="005A12F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A12F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131DD8" w:rsidRDefault="00131DD8" w:rsidP="00131DD8">
            <w:pPr>
              <w:pStyle w:val="Bodytext20"/>
              <w:shd w:val="clear" w:color="auto" w:fill="auto"/>
              <w:spacing w:line="240" w:lineRule="auto"/>
              <w:ind w:left="1639" w:hanging="873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DF7541" w:rsidRPr="00586196" w:rsidRDefault="005A12F1" w:rsidP="00131DD8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A12F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131DD8" w:rsidRDefault="00131DD8" w:rsidP="00131DD8">
            <w:pPr>
              <w:pStyle w:val="Bodytext20"/>
              <w:shd w:val="clear" w:color="auto" w:fill="auto"/>
              <w:spacing w:line="240" w:lineRule="auto"/>
              <w:ind w:left="768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DF7541" w:rsidRPr="00586196" w:rsidRDefault="00131DD8" w:rsidP="00131DD8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A12F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948B3" w:rsidRDefault="00131DD8" w:rsidP="0084025E">
            <w:pPr>
              <w:pStyle w:val="Bodytext20"/>
              <w:shd w:val="clear" w:color="auto" w:fill="auto"/>
              <w:spacing w:line="240" w:lineRule="auto"/>
              <w:ind w:left="768" w:right="672" w:hanging="173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из Кыргызской </w:t>
            </w:r>
            <w:r w:rsidR="000948B3">
              <w:rPr>
                <w:rStyle w:val="Bodytext212pt"/>
                <w:rFonts w:ascii="Sylfaen" w:hAnsi="Sylfaen"/>
              </w:rPr>
              <w:t>Республики в Республику Армения</w:t>
            </w:r>
          </w:p>
          <w:p w:rsidR="00DF7541" w:rsidRPr="00586196" w:rsidRDefault="00131DD8" w:rsidP="000948B3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</w:t>
            </w:r>
            <w:r w:rsidR="0084025E" w:rsidRPr="00586196">
              <w:rPr>
                <w:rStyle w:val="Bodytext212pt"/>
                <w:rFonts w:ascii="Sylfaen" w:hAnsi="Sylfaen"/>
              </w:rPr>
              <w:t xml:space="preserve">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A12F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FA70EC" w:rsidRDefault="00FA70EC" w:rsidP="00FA70EC">
            <w:pPr>
              <w:pStyle w:val="Bodytext20"/>
              <w:shd w:val="clear" w:color="auto" w:fill="auto"/>
              <w:spacing w:line="240" w:lineRule="auto"/>
              <w:ind w:left="766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DF7541" w:rsidRPr="00586196" w:rsidRDefault="0084025E" w:rsidP="00FA70EC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A12F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FA70EC" w:rsidRDefault="00FA70EC" w:rsidP="00FA70EC">
            <w:pPr>
              <w:pStyle w:val="Bodytext20"/>
              <w:shd w:val="clear" w:color="auto" w:fill="auto"/>
              <w:spacing w:line="240" w:lineRule="auto"/>
              <w:ind w:left="76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</w:t>
            </w:r>
            <w:r>
              <w:rPr>
                <w:rStyle w:val="Bodytext212pt"/>
                <w:rFonts w:ascii="Sylfaen" w:hAnsi="Sylfaen"/>
              </w:rPr>
              <w:t>блику Казахстан</w:t>
            </w:r>
          </w:p>
          <w:p w:rsidR="00DF7541" w:rsidRPr="00586196" w:rsidRDefault="00FA70EC" w:rsidP="00FA70EC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A12F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40143B" w:rsidRDefault="0040143B" w:rsidP="0040143B">
            <w:pPr>
              <w:pStyle w:val="Bodytext20"/>
              <w:shd w:val="clear" w:color="auto" w:fill="auto"/>
              <w:spacing w:line="240" w:lineRule="auto"/>
              <w:ind w:left="766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DF7541" w:rsidRPr="00586196" w:rsidRDefault="00FA70EC" w:rsidP="0040143B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A12F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863C1" w:rsidRDefault="000863C1" w:rsidP="000863C1">
            <w:pPr>
              <w:pStyle w:val="Bodytext20"/>
              <w:shd w:val="clear" w:color="auto" w:fill="auto"/>
              <w:spacing w:line="240" w:lineRule="auto"/>
              <w:ind w:left="768" w:right="760" w:hanging="173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</w:t>
            </w:r>
            <w:r>
              <w:rPr>
                <w:rStyle w:val="Bodytext212pt"/>
                <w:rFonts w:ascii="Sylfaen" w:hAnsi="Sylfaen"/>
              </w:rPr>
              <w:t xml:space="preserve"> Федерации в Республику Армения</w:t>
            </w:r>
          </w:p>
          <w:p w:rsidR="00DF7541" w:rsidRPr="00586196" w:rsidRDefault="000863C1" w:rsidP="000863C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0863C1" w:rsidRDefault="000863C1">
      <w:r>
        <w:br w:type="page"/>
      </w:r>
    </w:p>
    <w:tbl>
      <w:tblPr>
        <w:tblOverlap w:val="never"/>
        <w:tblW w:w="8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1454"/>
        <w:gridCol w:w="1458"/>
        <w:gridCol w:w="580"/>
        <w:gridCol w:w="567"/>
        <w:gridCol w:w="586"/>
      </w:tblGrid>
      <w:tr w:rsidR="00DF7541" w:rsidRPr="00586196" w:rsidTr="00C67D4A">
        <w:trPr>
          <w:jc w:val="center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0863C1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0863C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C67D4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C67D4A">
        <w:trPr>
          <w:jc w:val="center"/>
        </w:trPr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C67D4A">
        <w:trPr>
          <w:jc w:val="center"/>
        </w:trPr>
        <w:tc>
          <w:tcPr>
            <w:tcW w:w="4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10CD" w:rsidRDefault="009810CD" w:rsidP="009810CD">
            <w:pPr>
              <w:pStyle w:val="Bodytext20"/>
              <w:shd w:val="clear" w:color="auto" w:fill="auto"/>
              <w:spacing w:line="240" w:lineRule="auto"/>
              <w:ind w:left="766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DF7541" w:rsidRPr="00586196" w:rsidRDefault="009810CD" w:rsidP="009810CD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67D4A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DA52B7" w:rsidRDefault="00DA52B7" w:rsidP="00DA52B7">
            <w:pPr>
              <w:pStyle w:val="Bodytext20"/>
              <w:shd w:val="clear" w:color="auto" w:fill="auto"/>
              <w:spacing w:line="240" w:lineRule="auto"/>
              <w:ind w:left="766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DF7541" w:rsidRPr="00586196" w:rsidRDefault="00DA52B7" w:rsidP="00DA52B7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67D4A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DA52B7" w:rsidRDefault="00DA52B7" w:rsidP="00DA52B7">
            <w:pPr>
              <w:pStyle w:val="Bodytext20"/>
              <w:shd w:val="clear" w:color="auto" w:fill="auto"/>
              <w:spacing w:line="240" w:lineRule="auto"/>
              <w:ind w:left="766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DF7541" w:rsidRPr="00586196" w:rsidRDefault="00DA52B7" w:rsidP="00DA52B7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67D4A">
        <w:trPr>
          <w:jc w:val="center"/>
        </w:trPr>
        <w:tc>
          <w:tcPr>
            <w:tcW w:w="4277" w:type="dxa"/>
            <w:shd w:val="clear" w:color="auto" w:fill="FFFFFF"/>
          </w:tcPr>
          <w:p w:rsidR="00DA52B7" w:rsidRDefault="00DA52B7" w:rsidP="007939F4">
            <w:pPr>
              <w:pStyle w:val="Bodytext20"/>
              <w:shd w:val="clear" w:color="auto" w:fill="auto"/>
              <w:spacing w:line="240" w:lineRule="auto"/>
              <w:ind w:left="628" w:right="1077" w:hanging="33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третьих го</w:t>
            </w:r>
            <w:r>
              <w:rPr>
                <w:rStyle w:val="Bodytext212pt"/>
                <w:rFonts w:ascii="Sylfaen" w:hAnsi="Sylfaen"/>
              </w:rPr>
              <w:t>сударств** в Республику Армения</w:t>
            </w:r>
          </w:p>
          <w:p w:rsidR="00DF7541" w:rsidRPr="00586196" w:rsidRDefault="00DA52B7" w:rsidP="00F53936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67D4A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4E2F7F" w:rsidRDefault="004E2F7F" w:rsidP="004E2F7F">
            <w:pPr>
              <w:pStyle w:val="Bodytext20"/>
              <w:shd w:val="clear" w:color="auto" w:fill="auto"/>
              <w:spacing w:line="240" w:lineRule="auto"/>
              <w:ind w:left="766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DF7541" w:rsidRPr="00586196" w:rsidRDefault="007939F4" w:rsidP="004E2F7F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67D4A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4E2F7F" w:rsidRDefault="004E2F7F" w:rsidP="004E2F7F">
            <w:pPr>
              <w:pStyle w:val="Bodytext20"/>
              <w:shd w:val="clear" w:color="auto" w:fill="auto"/>
              <w:spacing w:line="240" w:lineRule="auto"/>
              <w:ind w:left="766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DF7541" w:rsidRPr="00586196" w:rsidRDefault="004E2F7F" w:rsidP="004E2F7F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67D4A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4E2F7F" w:rsidRDefault="004E2F7F" w:rsidP="004E2F7F">
            <w:pPr>
              <w:pStyle w:val="Bodytext20"/>
              <w:shd w:val="clear" w:color="auto" w:fill="auto"/>
              <w:spacing w:line="240" w:lineRule="auto"/>
              <w:ind w:left="766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DF7541" w:rsidRPr="00586196" w:rsidRDefault="004E2F7F" w:rsidP="004E2F7F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67D4A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4E2F7F" w:rsidRDefault="004E2F7F" w:rsidP="004E2F7F">
            <w:pPr>
              <w:pStyle w:val="Bodytext20"/>
              <w:shd w:val="clear" w:color="auto" w:fill="auto"/>
              <w:spacing w:line="240" w:lineRule="auto"/>
              <w:ind w:left="766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DF7541" w:rsidRPr="00586196" w:rsidRDefault="004E2F7F" w:rsidP="004E2F7F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4E2F7F" w:rsidRDefault="004E2F7F" w:rsidP="00586196">
      <w:pPr>
        <w:spacing w:after="120"/>
      </w:pPr>
    </w:p>
    <w:p w:rsidR="004E2F7F" w:rsidRDefault="004E2F7F">
      <w:r>
        <w:br w:type="page"/>
      </w:r>
    </w:p>
    <w:tbl>
      <w:tblPr>
        <w:tblOverlap w:val="never"/>
        <w:tblW w:w="90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1440"/>
        <w:gridCol w:w="1440"/>
        <w:gridCol w:w="580"/>
        <w:gridCol w:w="567"/>
        <w:gridCol w:w="649"/>
      </w:tblGrid>
      <w:tr w:rsidR="00DF7541" w:rsidRPr="00586196" w:rsidTr="003F67D0">
        <w:trPr>
          <w:jc w:val="center"/>
        </w:trPr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E2F7F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3F67D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3F67D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3F67D0">
        <w:trPr>
          <w:jc w:val="center"/>
        </w:trPr>
        <w:tc>
          <w:tcPr>
            <w:tcW w:w="4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3F67D0">
        <w:trPr>
          <w:jc w:val="center"/>
        </w:trPr>
        <w:tc>
          <w:tcPr>
            <w:tcW w:w="43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731B" w:rsidRDefault="003F67D0" w:rsidP="003D731B">
            <w:pPr>
              <w:pStyle w:val="Bodytext20"/>
              <w:shd w:val="clear" w:color="auto" w:fill="auto"/>
              <w:spacing w:line="240" w:lineRule="auto"/>
              <w:ind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Расходная часть </w:t>
            </w:r>
            <w:r w:rsidR="003D731B">
              <w:rPr>
                <w:rStyle w:val="Bodytext212pt"/>
                <w:rFonts w:ascii="Sylfaen" w:hAnsi="Sylfaen"/>
              </w:rPr>
              <w:t>–</w:t>
            </w:r>
            <w:r w:rsidRPr="00586196">
              <w:rPr>
                <w:rStyle w:val="Bodytext212pt"/>
                <w:rFonts w:ascii="Sylfaen" w:hAnsi="Sylfaen"/>
              </w:rPr>
              <w:t xml:space="preserve"> распределение</w:t>
            </w:r>
          </w:p>
          <w:p w:rsidR="003F67D0" w:rsidRPr="00586196" w:rsidRDefault="003F67D0" w:rsidP="003D731B">
            <w:pPr>
              <w:pStyle w:val="Bodytext20"/>
              <w:shd w:val="clear" w:color="auto" w:fill="auto"/>
              <w:spacing w:line="240" w:lineRule="auto"/>
              <w:ind w:left="4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Экспорт</w:t>
            </w:r>
          </w:p>
          <w:p w:rsidR="00884A57" w:rsidRDefault="00E03E5A" w:rsidP="00884A57">
            <w:pPr>
              <w:pStyle w:val="Bodytext20"/>
              <w:shd w:val="clear" w:color="auto" w:fill="auto"/>
              <w:spacing w:line="240" w:lineRule="auto"/>
              <w:ind w:left="953" w:right="800" w:hanging="30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государства-члены</w:t>
            </w:r>
          </w:p>
          <w:p w:rsidR="00884A57" w:rsidRDefault="003F67D0" w:rsidP="00884A57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</w:t>
            </w:r>
            <w:r w:rsidR="00884A57">
              <w:rPr>
                <w:rStyle w:val="Bodytext212pt"/>
                <w:rFonts w:ascii="Sylfaen" w:hAnsi="Sylfaen"/>
              </w:rPr>
              <w:t>лику Армения</w:t>
            </w:r>
          </w:p>
          <w:p w:rsidR="00884A57" w:rsidRDefault="00884A57" w:rsidP="00884A57">
            <w:pPr>
              <w:pStyle w:val="Bodytext20"/>
              <w:shd w:val="clear" w:color="auto" w:fill="auto"/>
              <w:spacing w:line="240" w:lineRule="auto"/>
              <w:ind w:left="953" w:firstLine="284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DF7541" w:rsidRPr="00586196" w:rsidRDefault="003F67D0" w:rsidP="00884A57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67D0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E03E5A" w:rsidRDefault="00E03E5A" w:rsidP="00E03E5A">
            <w:pPr>
              <w:pStyle w:val="Bodytext20"/>
              <w:shd w:val="clear" w:color="auto" w:fill="auto"/>
              <w:spacing w:line="240" w:lineRule="auto"/>
              <w:ind w:left="1361" w:hanging="30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DF7541" w:rsidRPr="00586196" w:rsidRDefault="00E03E5A" w:rsidP="006A58FA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67D0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6A58FA" w:rsidRDefault="006A58FA" w:rsidP="006A58FA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DF7541" w:rsidRPr="00586196" w:rsidRDefault="006A58FA" w:rsidP="006A58FA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67D0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FC0D74" w:rsidRDefault="00FC0D74" w:rsidP="00FC0D74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DF7541" w:rsidRPr="00586196" w:rsidRDefault="00FC0D74" w:rsidP="00FC0D74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67D0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05290B" w:rsidRDefault="0005290B" w:rsidP="0005290B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05290B" w:rsidRDefault="0005290B" w:rsidP="0005290B">
            <w:pPr>
              <w:pStyle w:val="Bodytext20"/>
              <w:shd w:val="clear" w:color="auto" w:fill="auto"/>
              <w:spacing w:line="240" w:lineRule="auto"/>
              <w:ind w:left="953" w:firstLine="284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FC0D74" w:rsidP="0005290B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67D0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05290B" w:rsidRDefault="0005290B" w:rsidP="0005290B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DF7541" w:rsidRPr="00586196" w:rsidRDefault="0005290B" w:rsidP="0005290B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67D0">
        <w:trPr>
          <w:jc w:val="center"/>
        </w:trPr>
        <w:tc>
          <w:tcPr>
            <w:tcW w:w="4324" w:type="dxa"/>
            <w:shd w:val="clear" w:color="auto" w:fill="FFFFFF"/>
          </w:tcPr>
          <w:p w:rsidR="0066720C" w:rsidRDefault="0066720C" w:rsidP="0066720C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DF7541" w:rsidRPr="00586196" w:rsidRDefault="0005290B" w:rsidP="0005290B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66720C" w:rsidRDefault="0066720C">
      <w:r>
        <w:br w:type="page"/>
      </w:r>
    </w:p>
    <w:tbl>
      <w:tblPr>
        <w:tblOverlap w:val="never"/>
        <w:tblW w:w="89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1"/>
        <w:gridCol w:w="1426"/>
        <w:gridCol w:w="1454"/>
        <w:gridCol w:w="589"/>
        <w:gridCol w:w="567"/>
        <w:gridCol w:w="637"/>
      </w:tblGrid>
      <w:tr w:rsidR="00DF7541" w:rsidRPr="00586196" w:rsidTr="000E5341">
        <w:trPr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0E5341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0E534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0E534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0E5341">
        <w:trPr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0E5341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548A" w:rsidRDefault="000E5341" w:rsidP="001C548A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</w:t>
            </w:r>
            <w:r w:rsidR="001C548A">
              <w:rPr>
                <w:rStyle w:val="Bodytext212pt"/>
                <w:rFonts w:ascii="Sylfaen" w:hAnsi="Sylfaen"/>
              </w:rPr>
              <w:t>з Российской Федерации</w:t>
            </w:r>
          </w:p>
          <w:p w:rsidR="00DF7541" w:rsidRPr="00586196" w:rsidRDefault="000E5341" w:rsidP="001C548A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E5341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657E9" w:rsidRDefault="000E5341" w:rsidP="00D657E9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</w:t>
            </w:r>
            <w:r w:rsidR="00D657E9">
              <w:rPr>
                <w:rStyle w:val="Bodytext212pt"/>
                <w:rFonts w:ascii="Sylfaen" w:hAnsi="Sylfaen"/>
              </w:rPr>
              <w:t>хстан</w:t>
            </w:r>
          </w:p>
          <w:p w:rsidR="00D657E9" w:rsidRDefault="00D657E9" w:rsidP="00D657E9">
            <w:pPr>
              <w:pStyle w:val="Bodytext20"/>
              <w:shd w:val="clear" w:color="auto" w:fill="auto"/>
              <w:spacing w:line="240" w:lineRule="auto"/>
              <w:ind w:left="953" w:firstLine="284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0E5341" w:rsidP="00233886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0E5341" w:rsidRPr="00586196" w:rsidTr="000E5341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233886" w:rsidRDefault="00233886" w:rsidP="00233886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0E5341" w:rsidRPr="00586196" w:rsidRDefault="000E5341" w:rsidP="00233886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0E5341" w:rsidRPr="00586196" w:rsidRDefault="000E53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0E5341" w:rsidRPr="00586196" w:rsidRDefault="000E53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0E5341" w:rsidRPr="00586196" w:rsidRDefault="000E53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0E5341" w:rsidRPr="00586196" w:rsidRDefault="000E5341" w:rsidP="00586196">
            <w:pPr>
              <w:spacing w:after="120"/>
            </w:pPr>
          </w:p>
        </w:tc>
        <w:tc>
          <w:tcPr>
            <w:tcW w:w="637" w:type="dxa"/>
            <w:shd w:val="clear" w:color="auto" w:fill="FFFFFF"/>
          </w:tcPr>
          <w:p w:rsidR="000E5341" w:rsidRPr="00586196" w:rsidRDefault="000E5341" w:rsidP="00586196">
            <w:pPr>
              <w:spacing w:after="120"/>
            </w:pPr>
          </w:p>
        </w:tc>
      </w:tr>
      <w:tr w:rsidR="00DF7541" w:rsidRPr="00586196" w:rsidTr="000E5341">
        <w:trPr>
          <w:jc w:val="center"/>
        </w:trPr>
        <w:tc>
          <w:tcPr>
            <w:tcW w:w="4291" w:type="dxa"/>
            <w:shd w:val="clear" w:color="auto" w:fill="FFFFFF"/>
          </w:tcPr>
          <w:p w:rsidR="00233886" w:rsidRDefault="00FD4B47" w:rsidP="00233886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DF7541" w:rsidRPr="00586196" w:rsidRDefault="00FD4B47" w:rsidP="00233886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E5341">
        <w:trPr>
          <w:jc w:val="center"/>
        </w:trPr>
        <w:tc>
          <w:tcPr>
            <w:tcW w:w="4291" w:type="dxa"/>
            <w:shd w:val="clear" w:color="auto" w:fill="FFFFFF"/>
          </w:tcPr>
          <w:p w:rsidR="00233886" w:rsidRDefault="00233886" w:rsidP="00233886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DF7541" w:rsidRPr="00586196" w:rsidRDefault="00FD4B47" w:rsidP="00233886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E5341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522EFE" w:rsidRDefault="00522EFE" w:rsidP="00522EFE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522EFE" w:rsidRDefault="00522EFE" w:rsidP="00522EFE">
            <w:pPr>
              <w:pStyle w:val="Bodytext20"/>
              <w:shd w:val="clear" w:color="auto" w:fill="auto"/>
              <w:spacing w:line="240" w:lineRule="auto"/>
              <w:ind w:left="953" w:firstLine="284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FD4B47" w:rsidP="00522EFE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E5341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5013A5" w:rsidRDefault="005013A5" w:rsidP="005013A5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DF7541" w:rsidRPr="00586196" w:rsidRDefault="00FD4B47" w:rsidP="005013A5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E5341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5013A5" w:rsidRDefault="005013A5" w:rsidP="005013A5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DF7541" w:rsidRPr="00586196" w:rsidRDefault="00FD4B47" w:rsidP="005013A5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5013A5" w:rsidRDefault="005013A5">
      <w:r>
        <w:br w:type="page"/>
      </w:r>
    </w:p>
    <w:tbl>
      <w:tblPr>
        <w:tblOverlap w:val="never"/>
        <w:tblW w:w="8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1444"/>
        <w:gridCol w:w="1469"/>
        <w:gridCol w:w="565"/>
        <w:gridCol w:w="567"/>
        <w:gridCol w:w="578"/>
      </w:tblGrid>
      <w:tr w:rsidR="00DF7541" w:rsidRPr="00586196" w:rsidTr="000811D3">
        <w:trPr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52758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5275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5275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0811D3">
        <w:trPr>
          <w:jc w:val="center"/>
        </w:trPr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0811D3">
        <w:trPr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FFFFFF"/>
          </w:tcPr>
          <w:p w:rsidR="0020668C" w:rsidRDefault="00FE6250" w:rsidP="0020668C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Р</w:t>
            </w:r>
            <w:r w:rsidR="0020668C">
              <w:rPr>
                <w:rStyle w:val="Bodytext212pt"/>
                <w:rFonts w:ascii="Sylfaen" w:hAnsi="Sylfaen"/>
              </w:rPr>
              <w:t>оссийской Федерации</w:t>
            </w:r>
          </w:p>
          <w:p w:rsidR="00DF7541" w:rsidRPr="00586196" w:rsidRDefault="00FE6250" w:rsidP="0020668C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FE6250" w:rsidRPr="00586196" w:rsidTr="000811D3">
        <w:trPr>
          <w:jc w:val="center"/>
        </w:trPr>
        <w:tc>
          <w:tcPr>
            <w:tcW w:w="4306" w:type="dxa"/>
            <w:shd w:val="clear" w:color="auto" w:fill="FFFFFF"/>
          </w:tcPr>
          <w:p w:rsidR="0020668C" w:rsidRDefault="0020668C" w:rsidP="0020668C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20668C" w:rsidRDefault="0020668C" w:rsidP="0020668C">
            <w:pPr>
              <w:pStyle w:val="Bodytext20"/>
              <w:shd w:val="clear" w:color="auto" w:fill="auto"/>
              <w:spacing w:line="240" w:lineRule="auto"/>
              <w:ind w:left="953" w:firstLine="284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FE6250" w:rsidRPr="00586196" w:rsidRDefault="00FE6250" w:rsidP="0020668C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565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</w:tr>
      <w:tr w:rsidR="00FE6250" w:rsidRPr="00586196" w:rsidTr="000811D3">
        <w:trPr>
          <w:jc w:val="center"/>
        </w:trPr>
        <w:tc>
          <w:tcPr>
            <w:tcW w:w="4306" w:type="dxa"/>
            <w:shd w:val="clear" w:color="auto" w:fill="FFFFFF"/>
          </w:tcPr>
          <w:p w:rsidR="00AB7475" w:rsidRDefault="00AB7475" w:rsidP="00AB7475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FE6250" w:rsidRPr="00586196" w:rsidRDefault="00FE6250" w:rsidP="00AB7475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565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</w:tr>
      <w:tr w:rsidR="00FE6250" w:rsidRPr="00586196" w:rsidTr="000811D3">
        <w:trPr>
          <w:jc w:val="center"/>
        </w:trPr>
        <w:tc>
          <w:tcPr>
            <w:tcW w:w="4306" w:type="dxa"/>
            <w:shd w:val="clear" w:color="auto" w:fill="FFFFFF"/>
          </w:tcPr>
          <w:p w:rsidR="00AB7475" w:rsidRDefault="00AB7475" w:rsidP="00AB7475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FE6250" w:rsidRPr="00586196" w:rsidRDefault="00FE6250" w:rsidP="00AB7475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565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FE6250" w:rsidRPr="00586196" w:rsidRDefault="00FE6250" w:rsidP="00586196">
            <w:pPr>
              <w:spacing w:after="120"/>
            </w:pPr>
          </w:p>
        </w:tc>
      </w:tr>
      <w:tr w:rsidR="005013A5" w:rsidRPr="00586196" w:rsidTr="000811D3">
        <w:trPr>
          <w:jc w:val="center"/>
        </w:trPr>
        <w:tc>
          <w:tcPr>
            <w:tcW w:w="4306" w:type="dxa"/>
            <w:shd w:val="clear" w:color="auto" w:fill="FFFFFF"/>
          </w:tcPr>
          <w:p w:rsidR="00AB7475" w:rsidRDefault="00AB7475" w:rsidP="00AB7475">
            <w:pPr>
              <w:pStyle w:val="Bodytext20"/>
              <w:shd w:val="clear" w:color="auto" w:fill="auto"/>
              <w:spacing w:line="240" w:lineRule="auto"/>
              <w:ind w:left="1094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5013A5" w:rsidRPr="00586196" w:rsidRDefault="00FE6250" w:rsidP="00AB7475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5013A5" w:rsidRPr="00586196" w:rsidRDefault="005013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5013A5" w:rsidRPr="00586196" w:rsidRDefault="005013A5" w:rsidP="00586196">
            <w:pPr>
              <w:spacing w:after="120"/>
            </w:pPr>
          </w:p>
        </w:tc>
        <w:tc>
          <w:tcPr>
            <w:tcW w:w="565" w:type="dxa"/>
            <w:shd w:val="clear" w:color="auto" w:fill="FFFFFF"/>
          </w:tcPr>
          <w:p w:rsidR="005013A5" w:rsidRPr="00586196" w:rsidRDefault="005013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013A5" w:rsidRPr="00586196" w:rsidRDefault="005013A5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5013A5" w:rsidRPr="00586196" w:rsidRDefault="005013A5" w:rsidP="00586196">
            <w:pPr>
              <w:spacing w:after="120"/>
            </w:pPr>
          </w:p>
        </w:tc>
      </w:tr>
      <w:tr w:rsidR="00DF7541" w:rsidRPr="00586196" w:rsidTr="000811D3">
        <w:trPr>
          <w:jc w:val="center"/>
        </w:trPr>
        <w:tc>
          <w:tcPr>
            <w:tcW w:w="4306" w:type="dxa"/>
            <w:shd w:val="clear" w:color="auto" w:fill="FFFFFF"/>
          </w:tcPr>
          <w:p w:rsidR="00870B9E" w:rsidRPr="00816DA8" w:rsidRDefault="00870B9E" w:rsidP="006C715B">
            <w:pPr>
              <w:pStyle w:val="Bodytext20"/>
              <w:shd w:val="clear" w:color="auto" w:fill="auto"/>
              <w:spacing w:line="240" w:lineRule="auto"/>
              <w:ind w:left="628" w:right="1077" w:hanging="33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третьи государства</w:t>
            </w:r>
            <w:r w:rsidR="00816DA8">
              <w:rPr>
                <w:rStyle w:val="Bodytext212pt"/>
                <w:rFonts w:ascii="Sylfaen" w:hAnsi="Sylfaen"/>
                <w:lang w:val="en-US"/>
              </w:rPr>
              <w:t>**</w:t>
            </w:r>
          </w:p>
          <w:p w:rsidR="00870B9E" w:rsidRDefault="00870B9E" w:rsidP="00870B9E">
            <w:pPr>
              <w:pStyle w:val="Bodytext20"/>
              <w:shd w:val="clear" w:color="auto" w:fill="auto"/>
              <w:spacing w:line="240" w:lineRule="auto"/>
              <w:ind w:left="800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FD4B47" w:rsidP="006C715B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811D3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864586" w:rsidRDefault="00FD4B47" w:rsidP="00864586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в </w:t>
            </w:r>
            <w:r w:rsidR="00864586">
              <w:rPr>
                <w:rStyle w:val="Bodytext212pt"/>
                <w:rFonts w:ascii="Sylfaen" w:hAnsi="Sylfaen"/>
              </w:rPr>
              <w:t>виде сжиженного природного газа</w:t>
            </w:r>
          </w:p>
          <w:p w:rsidR="00864586" w:rsidRDefault="00864586" w:rsidP="00864586">
            <w:pPr>
              <w:pStyle w:val="Bodytext20"/>
              <w:shd w:val="clear" w:color="auto" w:fill="auto"/>
              <w:spacing w:line="240" w:lineRule="auto"/>
              <w:ind w:left="800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DF7541" w:rsidRPr="00586196" w:rsidRDefault="00FD4B47" w:rsidP="00864586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2422EB" w:rsidRDefault="002422EB">
      <w:r>
        <w:br w:type="page"/>
      </w:r>
    </w:p>
    <w:tbl>
      <w:tblPr>
        <w:tblOverlap w:val="never"/>
        <w:tblW w:w="8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1444"/>
        <w:gridCol w:w="1469"/>
        <w:gridCol w:w="565"/>
        <w:gridCol w:w="567"/>
        <w:gridCol w:w="578"/>
      </w:tblGrid>
      <w:tr w:rsidR="00452758" w:rsidRPr="00586196" w:rsidTr="000811D3">
        <w:trPr>
          <w:trHeight w:val="540"/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758" w:rsidRPr="00586196" w:rsidRDefault="00452758" w:rsidP="00452758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758" w:rsidRPr="006D69BB" w:rsidRDefault="00452758" w:rsidP="006D69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  <w:r w:rsidR="006D69BB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758" w:rsidRPr="00586196" w:rsidRDefault="00452758" w:rsidP="0045275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758" w:rsidRPr="00586196" w:rsidRDefault="00452758" w:rsidP="0045275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452758" w:rsidRPr="00586196" w:rsidTr="000811D3">
        <w:trPr>
          <w:trHeight w:val="525"/>
          <w:jc w:val="center"/>
        </w:trPr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2758" w:rsidRPr="00586196" w:rsidRDefault="00452758" w:rsidP="00864586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758" w:rsidRPr="00586196" w:rsidRDefault="00452758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758" w:rsidRPr="00586196" w:rsidRDefault="00452758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758" w:rsidRPr="00586196" w:rsidRDefault="00452758" w:rsidP="000811D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758" w:rsidRPr="00586196" w:rsidRDefault="00452758" w:rsidP="000811D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758" w:rsidRPr="00586196" w:rsidRDefault="00452758" w:rsidP="000811D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2422EB" w:rsidRPr="00586196" w:rsidTr="000811D3">
        <w:trPr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22EB" w:rsidRDefault="002422EB" w:rsidP="002422E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в </w:t>
            </w:r>
            <w:r>
              <w:rPr>
                <w:rStyle w:val="Bodytext212pt"/>
                <w:rFonts w:ascii="Sylfaen" w:hAnsi="Sylfaen"/>
              </w:rPr>
              <w:t>виде сжиженного природного газа</w:t>
            </w:r>
          </w:p>
          <w:p w:rsidR="002422EB" w:rsidRDefault="002422EB" w:rsidP="002422EB">
            <w:pPr>
              <w:pStyle w:val="Bodytext20"/>
              <w:shd w:val="clear" w:color="auto" w:fill="auto"/>
              <w:spacing w:line="240" w:lineRule="auto"/>
              <w:ind w:left="800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2422EB" w:rsidRPr="00586196" w:rsidRDefault="002422EB" w:rsidP="002422E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2422EB" w:rsidRPr="00586196" w:rsidRDefault="002422EB" w:rsidP="00586196">
            <w:pPr>
              <w:spacing w:after="120"/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2422EB" w:rsidRPr="00586196" w:rsidRDefault="002422EB" w:rsidP="00586196">
            <w:pPr>
              <w:spacing w:after="120"/>
            </w:pP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FFFFFF"/>
          </w:tcPr>
          <w:p w:rsidR="002422EB" w:rsidRPr="00586196" w:rsidRDefault="002422EB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2422EB" w:rsidRPr="00586196" w:rsidRDefault="002422EB" w:rsidP="00586196">
            <w:pPr>
              <w:spacing w:after="120"/>
            </w:pP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</w:tcPr>
          <w:p w:rsidR="002422EB" w:rsidRPr="00586196" w:rsidRDefault="002422EB" w:rsidP="00586196">
            <w:pPr>
              <w:spacing w:after="120"/>
            </w:pPr>
          </w:p>
        </w:tc>
      </w:tr>
      <w:tr w:rsidR="00DF7541" w:rsidRPr="00586196" w:rsidTr="000811D3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63379D" w:rsidRDefault="00FD4B47" w:rsidP="0063379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в </w:t>
            </w:r>
            <w:r w:rsidR="0063379D">
              <w:rPr>
                <w:rStyle w:val="Bodytext212pt"/>
                <w:rFonts w:ascii="Sylfaen" w:hAnsi="Sylfaen"/>
              </w:rPr>
              <w:t>виде сжиженного природного газа</w:t>
            </w:r>
          </w:p>
          <w:p w:rsidR="0063379D" w:rsidRDefault="0063379D" w:rsidP="0063379D">
            <w:pPr>
              <w:pStyle w:val="Bodytext20"/>
              <w:shd w:val="clear" w:color="auto" w:fill="auto"/>
              <w:spacing w:line="240" w:lineRule="auto"/>
              <w:ind w:left="800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DF7541" w:rsidRPr="00586196" w:rsidRDefault="00FD4B47" w:rsidP="0063379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811D3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63379D" w:rsidRDefault="00FD4B47" w:rsidP="0063379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в </w:t>
            </w:r>
            <w:r w:rsidR="0063379D">
              <w:rPr>
                <w:rStyle w:val="Bodytext212pt"/>
                <w:rFonts w:ascii="Sylfaen" w:hAnsi="Sylfaen"/>
              </w:rPr>
              <w:t>виде сжиженного природного газа</w:t>
            </w:r>
          </w:p>
          <w:p w:rsidR="0063379D" w:rsidRDefault="00FD4B47" w:rsidP="0063379D">
            <w:pPr>
              <w:pStyle w:val="Bodytext20"/>
              <w:shd w:val="clear" w:color="auto" w:fill="auto"/>
              <w:spacing w:line="240" w:lineRule="auto"/>
              <w:ind w:left="800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</w:t>
            </w:r>
            <w:r w:rsidR="0063379D">
              <w:rPr>
                <w:rStyle w:val="Bodytext212pt"/>
                <w:rFonts w:ascii="Sylfaen" w:hAnsi="Sylfaen"/>
              </w:rPr>
              <w:t xml:space="preserve"> Федерации</w:t>
            </w:r>
          </w:p>
          <w:p w:rsidR="00DF7541" w:rsidRPr="00586196" w:rsidRDefault="00FD4B47" w:rsidP="0063379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811D3">
        <w:trPr>
          <w:jc w:val="center"/>
        </w:trPr>
        <w:tc>
          <w:tcPr>
            <w:tcW w:w="4306" w:type="dxa"/>
            <w:shd w:val="clear" w:color="auto" w:fill="FFFFFF"/>
            <w:vAlign w:val="center"/>
          </w:tcPr>
          <w:p w:rsidR="00C45DC9" w:rsidRPr="00C45DC9" w:rsidRDefault="00FD4B47" w:rsidP="00C45DC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в </w:t>
            </w:r>
            <w:r w:rsidR="00C45DC9">
              <w:rPr>
                <w:rStyle w:val="Bodytext212pt"/>
                <w:rFonts w:ascii="Sylfaen" w:hAnsi="Sylfaen"/>
              </w:rPr>
              <w:t>виде сжиженного природного газа</w:t>
            </w:r>
          </w:p>
          <w:p w:rsidR="00C45DC9" w:rsidRDefault="00FD4B47" w:rsidP="00C45DC9">
            <w:pPr>
              <w:pStyle w:val="Bodytext20"/>
              <w:shd w:val="clear" w:color="auto" w:fill="auto"/>
              <w:spacing w:line="240" w:lineRule="auto"/>
              <w:ind w:left="774" w:hanging="284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</w:t>
            </w:r>
            <w:r w:rsidR="00C45DC9">
              <w:rPr>
                <w:rStyle w:val="Bodytext212pt"/>
                <w:rFonts w:ascii="Sylfaen" w:hAnsi="Sylfaen"/>
              </w:rPr>
              <w:t>нний рынок</w:t>
            </w:r>
          </w:p>
          <w:p w:rsidR="00C45DC9" w:rsidRDefault="00C45DC9" w:rsidP="00C45DC9">
            <w:pPr>
              <w:pStyle w:val="Bodytext20"/>
              <w:shd w:val="clear" w:color="auto" w:fill="auto"/>
              <w:spacing w:line="240" w:lineRule="auto"/>
              <w:ind w:left="774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Республике Армения</w:t>
            </w:r>
          </w:p>
          <w:p w:rsidR="00C45DC9" w:rsidRDefault="00C45DC9" w:rsidP="00C45DC9">
            <w:pPr>
              <w:pStyle w:val="Bodytext20"/>
              <w:shd w:val="clear" w:color="auto" w:fill="auto"/>
              <w:spacing w:line="240" w:lineRule="auto"/>
              <w:ind w:left="800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Республике Беларусь</w:t>
            </w:r>
          </w:p>
          <w:p w:rsidR="00DF7541" w:rsidRDefault="00FD4B47" w:rsidP="00C45DC9">
            <w:pPr>
              <w:pStyle w:val="Bodytext20"/>
              <w:shd w:val="clear" w:color="auto" w:fill="auto"/>
              <w:spacing w:line="240" w:lineRule="auto"/>
              <w:ind w:left="800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  <w:p w:rsidR="007F226D" w:rsidRDefault="007F226D" w:rsidP="00C45DC9">
            <w:pPr>
              <w:pStyle w:val="Bodytext20"/>
              <w:shd w:val="clear" w:color="auto" w:fill="auto"/>
              <w:spacing w:line="240" w:lineRule="auto"/>
              <w:ind w:left="800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Кыргызской Республике</w:t>
            </w:r>
          </w:p>
          <w:p w:rsidR="007F226D" w:rsidRPr="007F226D" w:rsidRDefault="007F226D" w:rsidP="00C45DC9">
            <w:pPr>
              <w:pStyle w:val="Bodytext20"/>
              <w:shd w:val="clear" w:color="auto" w:fill="auto"/>
              <w:spacing w:line="240" w:lineRule="auto"/>
              <w:ind w:left="80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DF7541" w:rsidRPr="00586196" w:rsidRDefault="00DF7541" w:rsidP="00586196">
      <w:pPr>
        <w:spacing w:after="120"/>
      </w:pPr>
    </w:p>
    <w:p w:rsidR="007F226D" w:rsidRDefault="007F226D">
      <w:r>
        <w:br w:type="page"/>
      </w:r>
    </w:p>
    <w:p w:rsidR="00DF7541" w:rsidRPr="00586196" w:rsidRDefault="00FD4B47" w:rsidP="00697D4F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ПРИЛОЖЕНИЕ № 3</w:t>
      </w:r>
    </w:p>
    <w:p w:rsidR="00DF7541" w:rsidRDefault="00FD4B47" w:rsidP="00697D4F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475734" w:rsidRPr="00475734" w:rsidRDefault="00475734" w:rsidP="00697D4F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DF7541" w:rsidRPr="00586196" w:rsidRDefault="00FD4B47" w:rsidP="00586196">
      <w:pPr>
        <w:pStyle w:val="Bodytext100"/>
        <w:shd w:val="clear" w:color="auto" w:fill="auto"/>
        <w:spacing w:before="0" w:after="120" w:line="240" w:lineRule="auto"/>
        <w:ind w:right="340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 баланс нефтяного сырья</w:t>
      </w:r>
    </w:p>
    <w:p w:rsidR="00475734" w:rsidRPr="00EA23D3" w:rsidRDefault="00475734" w:rsidP="00475734">
      <w:pPr>
        <w:pStyle w:val="Bodytext100"/>
        <w:shd w:val="clear" w:color="auto" w:fill="auto"/>
        <w:spacing w:before="0" w:after="0" w:line="240" w:lineRule="auto"/>
        <w:ind w:right="318"/>
        <w:rPr>
          <w:rFonts w:ascii="Sylfaen" w:hAnsi="Sylfaen"/>
          <w:sz w:val="24"/>
          <w:szCs w:val="24"/>
        </w:rPr>
      </w:pPr>
      <w:r w:rsidRPr="00D34075">
        <w:rPr>
          <w:rFonts w:ascii="Sylfaen" w:hAnsi="Sylfaen"/>
          <w:sz w:val="24"/>
          <w:szCs w:val="24"/>
        </w:rPr>
        <w:t>____________________________________________________________________</w:t>
      </w:r>
      <w:r w:rsidRPr="00EA23D3">
        <w:rPr>
          <w:rFonts w:ascii="Sylfaen" w:hAnsi="Sylfaen"/>
          <w:sz w:val="24"/>
          <w:szCs w:val="24"/>
        </w:rPr>
        <w:t>____</w:t>
      </w:r>
    </w:p>
    <w:p w:rsidR="00DF7541" w:rsidRPr="00475734" w:rsidRDefault="00FD4B47" w:rsidP="00475734">
      <w:pPr>
        <w:pStyle w:val="Bodytext90"/>
        <w:shd w:val="clear" w:color="auto" w:fill="auto"/>
        <w:spacing w:after="120" w:line="240" w:lineRule="auto"/>
        <w:ind w:right="340"/>
        <w:jc w:val="center"/>
        <w:rPr>
          <w:rFonts w:ascii="Sylfaen" w:hAnsi="Sylfaen"/>
          <w:sz w:val="20"/>
          <w:szCs w:val="20"/>
        </w:rPr>
      </w:pPr>
      <w:r w:rsidRPr="00475734">
        <w:rPr>
          <w:rStyle w:val="Bodytext91"/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DF7541" w:rsidRPr="00586196" w:rsidRDefault="00FD4B47" w:rsidP="00475734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- 20__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годы</w:t>
      </w:r>
    </w:p>
    <w:p w:rsidR="00DF7541" w:rsidRPr="00586196" w:rsidRDefault="00FD4B47" w:rsidP="00841CF8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(млн. тонн)</w:t>
      </w:r>
    </w:p>
    <w:tbl>
      <w:tblPr>
        <w:tblOverlap w:val="never"/>
        <w:tblW w:w="89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1440"/>
        <w:gridCol w:w="1444"/>
        <w:gridCol w:w="578"/>
        <w:gridCol w:w="567"/>
        <w:gridCol w:w="586"/>
      </w:tblGrid>
      <w:tr w:rsidR="00DF7541" w:rsidRPr="00586196" w:rsidTr="00E851EC">
        <w:trPr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E851EC">
            <w:pPr>
              <w:pStyle w:val="Bodytext20"/>
              <w:shd w:val="clear" w:color="auto" w:fill="auto"/>
              <w:spacing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E851E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E851E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541" w:rsidRPr="00586196" w:rsidRDefault="00FD4B47" w:rsidP="00E851E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E851EC">
        <w:trPr>
          <w:jc w:val="center"/>
        </w:trPr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E851EC"/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E851EC"/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E851EC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E851E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E851E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E851E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E851EC">
        <w:trPr>
          <w:trHeight w:val="1970"/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6C3B1F">
            <w:pPr>
              <w:pStyle w:val="Bodytext20"/>
              <w:shd w:val="clear" w:color="auto" w:fill="auto"/>
              <w:spacing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</w:t>
            </w:r>
          </w:p>
          <w:p w:rsidR="00DF7541" w:rsidRPr="00586196" w:rsidRDefault="00FD4B47" w:rsidP="006C3B1F">
            <w:pPr>
              <w:pStyle w:val="Bodytext20"/>
              <w:shd w:val="clear" w:color="auto" w:fill="auto"/>
              <w:spacing w:line="240" w:lineRule="auto"/>
              <w:ind w:left="442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Добыча нефти, включая газовый конденсат</w:t>
            </w:r>
            <w:r w:rsidR="006C3B1F" w:rsidRPr="00B3687E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6"/>
              <w:t>*</w:t>
            </w:r>
          </w:p>
          <w:p w:rsidR="00C66532" w:rsidRDefault="00FD4B47" w:rsidP="00C66532">
            <w:pPr>
              <w:pStyle w:val="Bodytext20"/>
              <w:shd w:val="clear" w:color="auto" w:fill="auto"/>
              <w:spacing w:line="240" w:lineRule="auto"/>
              <w:ind w:left="442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Прочие пос</w:t>
            </w:r>
            <w:r w:rsidR="00C66532">
              <w:rPr>
                <w:rStyle w:val="Bodytext212pt"/>
                <w:rFonts w:ascii="Sylfaen" w:hAnsi="Sylfaen"/>
              </w:rPr>
              <w:t>тупления</w:t>
            </w:r>
          </w:p>
          <w:p w:rsidR="00DF7541" w:rsidRPr="00586196" w:rsidRDefault="00FD4B47" w:rsidP="00C66532">
            <w:pPr>
              <w:pStyle w:val="Bodytext20"/>
              <w:shd w:val="clear" w:color="auto" w:fill="auto"/>
              <w:spacing w:line="240" w:lineRule="auto"/>
              <w:ind w:left="442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  <w:p w:rsidR="00DF7541" w:rsidRPr="00586196" w:rsidRDefault="00FD4B47" w:rsidP="00C66532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  <w:r w:rsidR="00C66532" w:rsidRPr="00B3687E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7"/>
              <w:t>**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E851EC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C66532" w:rsidRDefault="00C66532" w:rsidP="00C66532">
            <w:pPr>
              <w:pStyle w:val="Bodytext20"/>
              <w:shd w:val="clear" w:color="auto" w:fill="auto"/>
              <w:spacing w:line="240" w:lineRule="auto"/>
              <w:ind w:left="1339" w:hanging="30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FD4B47" w:rsidP="00C66532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E851EC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F41E19" w:rsidRDefault="00F41E19" w:rsidP="00F41E19">
            <w:pPr>
              <w:pStyle w:val="Bodytext20"/>
              <w:shd w:val="clear" w:color="auto" w:fill="auto"/>
              <w:spacing w:line="240" w:lineRule="auto"/>
              <w:ind w:left="1339" w:hanging="30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DF7541" w:rsidRPr="00586196" w:rsidRDefault="00FD4B47" w:rsidP="00F41E1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E851EC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F41E19" w:rsidRDefault="00F41E19" w:rsidP="00F41E19">
            <w:pPr>
              <w:pStyle w:val="Bodytext20"/>
              <w:shd w:val="clear" w:color="auto" w:fill="auto"/>
              <w:spacing w:line="240" w:lineRule="auto"/>
              <w:ind w:left="1339" w:hanging="30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DF7541" w:rsidRPr="00586196" w:rsidRDefault="00FD4B47" w:rsidP="00F41E1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E851EC">
        <w:trPr>
          <w:jc w:val="center"/>
        </w:trPr>
        <w:tc>
          <w:tcPr>
            <w:tcW w:w="4306" w:type="dxa"/>
            <w:shd w:val="clear" w:color="auto" w:fill="FFFFFF"/>
          </w:tcPr>
          <w:p w:rsidR="00F41E19" w:rsidRDefault="00FD4B47" w:rsidP="00F41E19">
            <w:pPr>
              <w:pStyle w:val="Bodytext20"/>
              <w:shd w:val="clear" w:color="auto" w:fill="auto"/>
              <w:spacing w:line="240" w:lineRule="auto"/>
              <w:ind w:left="1339" w:hanging="301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Кырг</w:t>
            </w:r>
            <w:r w:rsidR="00F41E19">
              <w:rPr>
                <w:rStyle w:val="Bodytext212pt"/>
                <w:rFonts w:ascii="Sylfaen" w:hAnsi="Sylfaen"/>
              </w:rPr>
              <w:t>ызской Республики</w:t>
            </w:r>
          </w:p>
          <w:p w:rsidR="00DF7541" w:rsidRPr="00586196" w:rsidRDefault="00FD4B47" w:rsidP="00F41E1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8C677E" w:rsidRPr="00586196" w:rsidTr="00180BCC">
        <w:trPr>
          <w:trHeight w:val="525"/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77E" w:rsidRPr="00586196" w:rsidRDefault="008C677E" w:rsidP="008C677E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77E" w:rsidRPr="00586196" w:rsidRDefault="008C677E" w:rsidP="008C677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77E" w:rsidRPr="00586196" w:rsidRDefault="008C677E" w:rsidP="008C677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7E" w:rsidRPr="00586196" w:rsidRDefault="008C677E" w:rsidP="008C677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8C677E" w:rsidRPr="00586196" w:rsidTr="00180BCC">
        <w:trPr>
          <w:trHeight w:val="540"/>
          <w:jc w:val="center"/>
        </w:trPr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7E" w:rsidRPr="00586196" w:rsidRDefault="008C677E" w:rsidP="008C677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7E" w:rsidRPr="00586196" w:rsidRDefault="008C677E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7E" w:rsidRPr="00586196" w:rsidRDefault="008C677E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7E" w:rsidRPr="00586196" w:rsidRDefault="008C677E" w:rsidP="00180BC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7E" w:rsidRPr="00586196" w:rsidRDefault="008C677E" w:rsidP="00180BC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7E" w:rsidRPr="00586196" w:rsidRDefault="008C677E" w:rsidP="00180BC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534011" w:rsidRPr="00586196" w:rsidTr="00180BCC">
        <w:trPr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FFFFFF"/>
          </w:tcPr>
          <w:p w:rsidR="00534011" w:rsidRDefault="00534011" w:rsidP="00534011">
            <w:pPr>
              <w:pStyle w:val="Bodytext20"/>
              <w:shd w:val="clear" w:color="auto" w:fill="auto"/>
              <w:spacing w:line="240" w:lineRule="auto"/>
              <w:ind w:left="1339" w:hanging="301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534011" w:rsidRPr="00586196" w:rsidRDefault="00534011" w:rsidP="00180BCC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534011" w:rsidRPr="00586196" w:rsidRDefault="00534011" w:rsidP="00586196">
            <w:pPr>
              <w:spacing w:after="120"/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534011" w:rsidRPr="00586196" w:rsidRDefault="00534011" w:rsidP="00586196">
            <w:pPr>
              <w:spacing w:after="120"/>
            </w:pP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</w:tcPr>
          <w:p w:rsidR="00534011" w:rsidRPr="00586196" w:rsidRDefault="0053401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534011" w:rsidRPr="00586196" w:rsidRDefault="00534011" w:rsidP="00586196">
            <w:pPr>
              <w:spacing w:after="120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534011" w:rsidRPr="00586196" w:rsidRDefault="00534011" w:rsidP="00586196">
            <w:pPr>
              <w:spacing w:after="120"/>
            </w:pPr>
          </w:p>
        </w:tc>
      </w:tr>
      <w:tr w:rsidR="00180BCC" w:rsidRPr="00586196" w:rsidTr="00180BCC">
        <w:trPr>
          <w:jc w:val="center"/>
        </w:trPr>
        <w:tc>
          <w:tcPr>
            <w:tcW w:w="4306" w:type="dxa"/>
            <w:shd w:val="clear" w:color="auto" w:fill="FFFFFF"/>
          </w:tcPr>
          <w:p w:rsidR="00180BCC" w:rsidRDefault="00180BCC" w:rsidP="00534011">
            <w:pPr>
              <w:pStyle w:val="Bodytext20"/>
              <w:shd w:val="clear" w:color="auto" w:fill="auto"/>
              <w:spacing w:line="240" w:lineRule="auto"/>
              <w:ind w:left="1339" w:hanging="30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третьих государств*</w:t>
            </w:r>
          </w:p>
          <w:p w:rsidR="00180BCC" w:rsidRPr="00586196" w:rsidRDefault="00180BCC" w:rsidP="00180BCC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</w:tr>
      <w:tr w:rsidR="00180BCC" w:rsidRPr="00586196" w:rsidTr="00180BCC">
        <w:trPr>
          <w:jc w:val="center"/>
        </w:trPr>
        <w:tc>
          <w:tcPr>
            <w:tcW w:w="4306" w:type="dxa"/>
            <w:shd w:val="clear" w:color="auto" w:fill="FFFFFF"/>
          </w:tcPr>
          <w:p w:rsidR="00F740D9" w:rsidRPr="00586196" w:rsidRDefault="00F740D9" w:rsidP="00F740D9">
            <w:pPr>
              <w:pStyle w:val="Bodytext20"/>
              <w:shd w:val="clear" w:color="auto" w:fill="auto"/>
              <w:spacing w:line="240" w:lineRule="auto"/>
              <w:ind w:left="442" w:hanging="442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Расходная часть - распределение Экспорт</w:t>
            </w:r>
          </w:p>
          <w:p w:rsidR="00180BCC" w:rsidRPr="00586196" w:rsidRDefault="00F740D9" w:rsidP="00F740D9">
            <w:pPr>
              <w:pStyle w:val="Bodytext20"/>
              <w:shd w:val="clear" w:color="auto" w:fill="auto"/>
              <w:spacing w:line="240" w:lineRule="auto"/>
              <w:ind w:left="1339" w:hanging="30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40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</w:tr>
      <w:tr w:rsidR="00180BCC" w:rsidRPr="00586196" w:rsidTr="00180BCC">
        <w:trPr>
          <w:jc w:val="center"/>
        </w:trPr>
        <w:tc>
          <w:tcPr>
            <w:tcW w:w="4306" w:type="dxa"/>
            <w:shd w:val="clear" w:color="auto" w:fill="FFFFFF"/>
          </w:tcPr>
          <w:p w:rsidR="00F740D9" w:rsidRDefault="00F740D9" w:rsidP="00F740D9">
            <w:pPr>
              <w:pStyle w:val="Bodytext20"/>
              <w:shd w:val="clear" w:color="auto" w:fill="auto"/>
              <w:spacing w:line="240" w:lineRule="auto"/>
              <w:ind w:left="1321" w:hanging="26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180BCC" w:rsidRPr="00586196" w:rsidRDefault="00F740D9" w:rsidP="00F740D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180BCC" w:rsidRPr="00586196" w:rsidRDefault="00180BCC" w:rsidP="00586196">
            <w:pPr>
              <w:spacing w:after="120"/>
            </w:pPr>
          </w:p>
        </w:tc>
      </w:tr>
      <w:tr w:rsidR="00F740D9" w:rsidRPr="00586196" w:rsidTr="00180BCC">
        <w:trPr>
          <w:jc w:val="center"/>
        </w:trPr>
        <w:tc>
          <w:tcPr>
            <w:tcW w:w="4306" w:type="dxa"/>
            <w:shd w:val="clear" w:color="auto" w:fill="FFFFFF"/>
          </w:tcPr>
          <w:p w:rsidR="00F740D9" w:rsidRDefault="00F740D9" w:rsidP="00F740D9">
            <w:pPr>
              <w:pStyle w:val="Bodytext20"/>
              <w:shd w:val="clear" w:color="auto" w:fill="auto"/>
              <w:spacing w:line="240" w:lineRule="auto"/>
              <w:ind w:left="1321" w:hanging="261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</w:t>
            </w:r>
            <w:r>
              <w:rPr>
                <w:rStyle w:val="Bodytext212pt"/>
                <w:rFonts w:ascii="Sylfaen" w:hAnsi="Sylfaen"/>
              </w:rPr>
              <w:t>ику Беларусь</w:t>
            </w:r>
          </w:p>
          <w:p w:rsidR="00F740D9" w:rsidRDefault="00F740D9" w:rsidP="00F740D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</w:tr>
      <w:tr w:rsidR="00F740D9" w:rsidRPr="00586196" w:rsidTr="00180BCC">
        <w:trPr>
          <w:jc w:val="center"/>
        </w:trPr>
        <w:tc>
          <w:tcPr>
            <w:tcW w:w="4306" w:type="dxa"/>
            <w:shd w:val="clear" w:color="auto" w:fill="FFFFFF"/>
          </w:tcPr>
          <w:p w:rsidR="00F740D9" w:rsidRDefault="00F740D9" w:rsidP="00F740D9">
            <w:pPr>
              <w:pStyle w:val="Bodytext20"/>
              <w:shd w:val="clear" w:color="auto" w:fill="auto"/>
              <w:spacing w:line="240" w:lineRule="auto"/>
              <w:ind w:left="1321" w:hanging="26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F740D9" w:rsidRPr="00586196" w:rsidRDefault="00F740D9" w:rsidP="00F740D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</w:tr>
      <w:tr w:rsidR="00F740D9" w:rsidRPr="00586196" w:rsidTr="00180BCC">
        <w:trPr>
          <w:jc w:val="center"/>
        </w:trPr>
        <w:tc>
          <w:tcPr>
            <w:tcW w:w="4306" w:type="dxa"/>
            <w:shd w:val="clear" w:color="auto" w:fill="FFFFFF"/>
          </w:tcPr>
          <w:p w:rsidR="00F740D9" w:rsidRDefault="00F740D9" w:rsidP="00F740D9">
            <w:pPr>
              <w:pStyle w:val="Bodytext20"/>
              <w:shd w:val="clear" w:color="auto" w:fill="auto"/>
              <w:spacing w:line="240" w:lineRule="auto"/>
              <w:ind w:left="1321" w:hanging="26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F740D9" w:rsidRDefault="00F740D9" w:rsidP="00F740D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</w:tr>
      <w:tr w:rsidR="00F740D9" w:rsidRPr="00586196" w:rsidTr="00180BCC">
        <w:trPr>
          <w:jc w:val="center"/>
        </w:trPr>
        <w:tc>
          <w:tcPr>
            <w:tcW w:w="4306" w:type="dxa"/>
            <w:shd w:val="clear" w:color="auto" w:fill="FFFFFF"/>
          </w:tcPr>
          <w:p w:rsidR="00F740D9" w:rsidRDefault="00F740D9" w:rsidP="00F740D9">
            <w:pPr>
              <w:pStyle w:val="Bodytext20"/>
              <w:shd w:val="clear" w:color="auto" w:fill="auto"/>
              <w:spacing w:line="240" w:lineRule="auto"/>
              <w:ind w:left="1321" w:hanging="26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F740D9" w:rsidRDefault="00F740D9" w:rsidP="00F740D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</w:tr>
      <w:tr w:rsidR="00F740D9" w:rsidRPr="00586196" w:rsidTr="00180BCC">
        <w:trPr>
          <w:jc w:val="center"/>
        </w:trPr>
        <w:tc>
          <w:tcPr>
            <w:tcW w:w="4306" w:type="dxa"/>
            <w:shd w:val="clear" w:color="auto" w:fill="FFFFFF"/>
          </w:tcPr>
          <w:p w:rsidR="00F740D9" w:rsidRDefault="00F740D9" w:rsidP="00F740D9">
            <w:pPr>
              <w:pStyle w:val="Bodytext20"/>
              <w:shd w:val="clear" w:color="auto" w:fill="auto"/>
              <w:spacing w:line="240" w:lineRule="auto"/>
              <w:ind w:left="1321" w:hanging="26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третьи государства*</w:t>
            </w:r>
          </w:p>
          <w:p w:rsidR="00F740D9" w:rsidRDefault="00F740D9" w:rsidP="00F740D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</w:tr>
      <w:tr w:rsidR="00F740D9" w:rsidRPr="00586196" w:rsidTr="00180BCC">
        <w:trPr>
          <w:jc w:val="center"/>
        </w:trPr>
        <w:tc>
          <w:tcPr>
            <w:tcW w:w="4306" w:type="dxa"/>
            <w:shd w:val="clear" w:color="auto" w:fill="FFFFFF"/>
          </w:tcPr>
          <w:p w:rsidR="00B3687E" w:rsidRPr="00B3687E" w:rsidRDefault="00B3687E" w:rsidP="001B4B1B">
            <w:pPr>
              <w:pStyle w:val="Bodytext20"/>
              <w:shd w:val="clear" w:color="auto" w:fill="auto"/>
              <w:spacing w:line="240" w:lineRule="auto"/>
              <w:ind w:left="486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  <w:p w:rsidR="00F740D9" w:rsidRDefault="00633A2A" w:rsidP="001B4B1B">
            <w:pPr>
              <w:pStyle w:val="Bodytext20"/>
              <w:shd w:val="clear" w:color="auto" w:fill="auto"/>
              <w:spacing w:line="240" w:lineRule="auto"/>
              <w:ind w:left="48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Потери</w:t>
            </w:r>
          </w:p>
        </w:tc>
        <w:tc>
          <w:tcPr>
            <w:tcW w:w="1440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1444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F740D9" w:rsidRPr="00586196" w:rsidRDefault="00F740D9" w:rsidP="00586196">
            <w:pPr>
              <w:spacing w:after="120"/>
            </w:pPr>
          </w:p>
        </w:tc>
      </w:tr>
    </w:tbl>
    <w:p w:rsidR="00633A2A" w:rsidRDefault="00633A2A">
      <w:pPr>
        <w:rPr>
          <w:rFonts w:eastAsia="Times New Roman" w:cs="Times New Roman"/>
        </w:rPr>
      </w:pPr>
      <w:r>
        <w:br w:type="page"/>
      </w:r>
    </w:p>
    <w:p w:rsidR="00DF7541" w:rsidRPr="00586196" w:rsidRDefault="00FD4B47" w:rsidP="00085728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ПРИЛОЖЕНИЕ № 4</w:t>
      </w:r>
    </w:p>
    <w:p w:rsidR="00DF7541" w:rsidRDefault="00FD4B47" w:rsidP="00085728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C85696" w:rsidRPr="00C85696" w:rsidRDefault="00C85696" w:rsidP="00085728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F02D8A" w:rsidRDefault="00FD4B47" w:rsidP="00F02D8A">
      <w:pPr>
        <w:pStyle w:val="Bodytext100"/>
        <w:shd w:val="clear" w:color="auto" w:fill="auto"/>
        <w:spacing w:before="0" w:after="0" w:line="240" w:lineRule="auto"/>
        <w:ind w:left="993" w:right="1693"/>
        <w:rPr>
          <w:rFonts w:ascii="Sylfaen" w:hAnsi="Sylfaen"/>
          <w:sz w:val="24"/>
          <w:szCs w:val="24"/>
          <w:lang w:val="hy-AM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 баланс нефтяного сырья Ев</w:t>
      </w:r>
      <w:r w:rsidR="00F02D8A">
        <w:rPr>
          <w:rFonts w:ascii="Sylfaen" w:hAnsi="Sylfaen"/>
          <w:sz w:val="24"/>
          <w:szCs w:val="24"/>
        </w:rPr>
        <w:t>разийского экономического союза</w:t>
      </w:r>
    </w:p>
    <w:p w:rsidR="00DF7541" w:rsidRPr="00586196" w:rsidRDefault="00FD4B47" w:rsidP="00F02D8A">
      <w:pPr>
        <w:pStyle w:val="Bodytext100"/>
        <w:shd w:val="clear" w:color="auto" w:fill="auto"/>
        <w:spacing w:before="0" w:after="120" w:line="240" w:lineRule="auto"/>
        <w:ind w:left="993" w:right="1693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- 20__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годы</w:t>
      </w:r>
    </w:p>
    <w:p w:rsidR="00DF7541" w:rsidRPr="00586196" w:rsidRDefault="00FD4B47" w:rsidP="00F02D8A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(млн. тонн)</w:t>
      </w:r>
    </w:p>
    <w:tbl>
      <w:tblPr>
        <w:tblOverlap w:val="never"/>
        <w:tblW w:w="89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1"/>
        <w:gridCol w:w="1454"/>
        <w:gridCol w:w="1458"/>
        <w:gridCol w:w="573"/>
        <w:gridCol w:w="567"/>
        <w:gridCol w:w="582"/>
      </w:tblGrid>
      <w:tr w:rsidR="00DF7541" w:rsidRPr="00586196" w:rsidTr="00194F54">
        <w:trPr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F02D8A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3044E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 год</w:t>
            </w:r>
            <w:r w:rsidR="003044E9" w:rsidRPr="001B4B1B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8"/>
              <w:t>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F02D8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194F54">
        <w:trPr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F02D8A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F02D8A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F02D8A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194F54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194F54">
            <w:pPr>
              <w:pStyle w:val="Bodytext20"/>
              <w:shd w:val="clear" w:color="auto" w:fill="auto"/>
              <w:spacing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</w:t>
            </w:r>
          </w:p>
          <w:p w:rsidR="00DF7541" w:rsidRPr="00586196" w:rsidRDefault="00FD4B47" w:rsidP="003044E9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Добыча нефти, включая газовый конденсат</w:t>
            </w:r>
            <w:r w:rsidR="003044E9" w:rsidRPr="001B4B1B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9"/>
              <w:t>**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194F5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3044E9" w:rsidRDefault="003044E9" w:rsidP="003044E9">
            <w:pPr>
              <w:pStyle w:val="Bodytext20"/>
              <w:shd w:val="clear" w:color="auto" w:fill="auto"/>
              <w:spacing w:line="240" w:lineRule="auto"/>
              <w:ind w:left="743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Республике Армения</w:t>
            </w:r>
          </w:p>
          <w:p w:rsidR="003044E9" w:rsidRDefault="00FD4B47" w:rsidP="003044E9">
            <w:pPr>
              <w:pStyle w:val="Bodytext20"/>
              <w:shd w:val="clear" w:color="auto" w:fill="auto"/>
              <w:spacing w:line="240" w:lineRule="auto"/>
              <w:ind w:left="743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в Ре</w:t>
            </w:r>
            <w:r w:rsidR="003044E9">
              <w:rPr>
                <w:rStyle w:val="Bodytext212pt"/>
                <w:rFonts w:ascii="Sylfaen" w:hAnsi="Sylfaen"/>
              </w:rPr>
              <w:t>спублике Беларусь</w:t>
            </w:r>
          </w:p>
          <w:p w:rsidR="003044E9" w:rsidRDefault="003044E9" w:rsidP="003044E9">
            <w:pPr>
              <w:pStyle w:val="Bodytext20"/>
              <w:shd w:val="clear" w:color="auto" w:fill="auto"/>
              <w:spacing w:line="240" w:lineRule="auto"/>
              <w:ind w:left="743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Республике Казахстан</w:t>
            </w:r>
          </w:p>
          <w:p w:rsidR="003044E9" w:rsidRPr="003044E9" w:rsidRDefault="003044E9" w:rsidP="003044E9">
            <w:pPr>
              <w:pStyle w:val="Bodytext20"/>
              <w:shd w:val="clear" w:color="auto" w:fill="auto"/>
              <w:spacing w:line="240" w:lineRule="auto"/>
              <w:ind w:left="743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Кыргызской Республике</w:t>
            </w:r>
          </w:p>
          <w:p w:rsidR="00DF7541" w:rsidRPr="00586196" w:rsidRDefault="00FD4B47" w:rsidP="003044E9">
            <w:pPr>
              <w:pStyle w:val="Bodytext20"/>
              <w:shd w:val="clear" w:color="auto" w:fill="auto"/>
              <w:spacing w:line="240" w:lineRule="auto"/>
              <w:ind w:left="743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194F5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FC5632" w:rsidRDefault="00FC5632" w:rsidP="00396849">
            <w:pPr>
              <w:pStyle w:val="Bodytext20"/>
              <w:shd w:val="clear" w:color="auto" w:fill="auto"/>
              <w:spacing w:line="240" w:lineRule="auto"/>
              <w:ind w:left="743" w:hanging="30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Прочие поступления</w:t>
            </w:r>
          </w:p>
          <w:p w:rsidR="00FC5632" w:rsidRDefault="00FC5632" w:rsidP="00FC5632">
            <w:pPr>
              <w:pStyle w:val="Bodytext20"/>
              <w:shd w:val="clear" w:color="auto" w:fill="auto"/>
              <w:spacing w:line="240" w:lineRule="auto"/>
              <w:ind w:left="743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Республике Армения</w:t>
            </w:r>
          </w:p>
          <w:p w:rsidR="00FC5632" w:rsidRDefault="00FC5632" w:rsidP="00FC5632">
            <w:pPr>
              <w:pStyle w:val="Bodytext20"/>
              <w:shd w:val="clear" w:color="auto" w:fill="auto"/>
              <w:spacing w:line="240" w:lineRule="auto"/>
              <w:ind w:left="743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Республике Беларусь</w:t>
            </w:r>
          </w:p>
          <w:p w:rsidR="00FC5632" w:rsidRDefault="00FC5632" w:rsidP="00FC5632">
            <w:pPr>
              <w:pStyle w:val="Bodytext20"/>
              <w:shd w:val="clear" w:color="auto" w:fill="auto"/>
              <w:spacing w:line="240" w:lineRule="auto"/>
              <w:ind w:left="743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Республике Казахстан</w:t>
            </w:r>
          </w:p>
          <w:p w:rsidR="00FC5632" w:rsidRDefault="00FC5632" w:rsidP="00FC5632">
            <w:pPr>
              <w:pStyle w:val="Bodytext20"/>
              <w:shd w:val="clear" w:color="auto" w:fill="auto"/>
              <w:spacing w:line="240" w:lineRule="auto"/>
              <w:ind w:left="743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Кыргызской Республике</w:t>
            </w:r>
          </w:p>
          <w:p w:rsidR="00DF7541" w:rsidRPr="00586196" w:rsidRDefault="00FD4B47" w:rsidP="00FC5632">
            <w:pPr>
              <w:pStyle w:val="Bodytext20"/>
              <w:shd w:val="clear" w:color="auto" w:fill="auto"/>
              <w:spacing w:line="240" w:lineRule="auto"/>
              <w:ind w:left="743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194F5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396849">
            <w:pPr>
              <w:pStyle w:val="Bodytext20"/>
              <w:shd w:val="clear" w:color="auto" w:fill="auto"/>
              <w:spacing w:line="240" w:lineRule="auto"/>
              <w:ind w:left="743" w:hanging="301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194F5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396849" w:rsidRDefault="00396849" w:rsidP="00A9736C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396849" w:rsidRDefault="00396849" w:rsidP="00396849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DF7541" w:rsidRPr="00586196" w:rsidRDefault="00FD4B47" w:rsidP="00396849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303664" w:rsidRDefault="00303664">
      <w:r>
        <w:br w:type="page"/>
      </w:r>
    </w:p>
    <w:tbl>
      <w:tblPr>
        <w:tblOverlap w:val="never"/>
        <w:tblW w:w="90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8"/>
        <w:gridCol w:w="15"/>
        <w:gridCol w:w="6"/>
        <w:gridCol w:w="1426"/>
        <w:gridCol w:w="11"/>
        <w:gridCol w:w="1443"/>
        <w:gridCol w:w="14"/>
        <w:gridCol w:w="566"/>
        <w:gridCol w:w="7"/>
        <w:gridCol w:w="8"/>
        <w:gridCol w:w="552"/>
        <w:gridCol w:w="7"/>
        <w:gridCol w:w="8"/>
        <w:gridCol w:w="574"/>
        <w:gridCol w:w="67"/>
        <w:gridCol w:w="8"/>
      </w:tblGrid>
      <w:tr w:rsidR="00B17155" w:rsidRPr="00586196" w:rsidTr="00D03D9F">
        <w:trPr>
          <w:gridAfter w:val="2"/>
          <w:wAfter w:w="75" w:type="dxa"/>
          <w:trHeight w:val="480"/>
          <w:jc w:val="center"/>
        </w:trPr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155" w:rsidRPr="00586196" w:rsidRDefault="00B17155" w:rsidP="00A6618C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155" w:rsidRPr="00586196" w:rsidRDefault="00B17155" w:rsidP="00A6618C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155" w:rsidRPr="00586196" w:rsidRDefault="00B17155" w:rsidP="00A6618C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155" w:rsidRPr="00586196" w:rsidRDefault="00B17155" w:rsidP="00A6618C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B17155" w:rsidRPr="00586196" w:rsidTr="00D03D9F">
        <w:trPr>
          <w:gridAfter w:val="2"/>
          <w:wAfter w:w="75" w:type="dxa"/>
          <w:trHeight w:val="585"/>
          <w:jc w:val="center"/>
        </w:trPr>
        <w:tc>
          <w:tcPr>
            <w:tcW w:w="4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155" w:rsidRPr="00586196" w:rsidRDefault="00B17155" w:rsidP="00B17155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</w:p>
        </w:tc>
        <w:tc>
          <w:tcPr>
            <w:tcW w:w="14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155" w:rsidRPr="00586196" w:rsidRDefault="00B17155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155" w:rsidRPr="00586196" w:rsidRDefault="00B17155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155" w:rsidRPr="00586196" w:rsidRDefault="00B17155" w:rsidP="00A6618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155" w:rsidRPr="00586196" w:rsidRDefault="00B17155" w:rsidP="00A6618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155" w:rsidRPr="00586196" w:rsidRDefault="00B17155" w:rsidP="00A6618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B17155" w:rsidRPr="00586196" w:rsidTr="00D03D9F">
        <w:trPr>
          <w:gridAfter w:val="2"/>
          <w:wAfter w:w="75" w:type="dxa"/>
          <w:jc w:val="center"/>
        </w:trPr>
        <w:tc>
          <w:tcPr>
            <w:tcW w:w="4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553B" w:rsidRDefault="00B17155" w:rsidP="004D553B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B17155" w:rsidRDefault="00B17155" w:rsidP="004D553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17155" w:rsidRPr="00586196" w:rsidRDefault="00B17155" w:rsidP="00586196">
            <w:pPr>
              <w:spacing w:after="120"/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17155" w:rsidRPr="00586196" w:rsidRDefault="00B17155" w:rsidP="00586196">
            <w:pPr>
              <w:spacing w:after="120"/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17155" w:rsidRPr="00586196" w:rsidRDefault="00B17155" w:rsidP="00586196">
            <w:pPr>
              <w:spacing w:after="120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17155" w:rsidRPr="00586196" w:rsidRDefault="00B17155" w:rsidP="00586196">
            <w:pPr>
              <w:spacing w:after="120"/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17155" w:rsidRPr="00586196" w:rsidRDefault="00B17155" w:rsidP="00586196">
            <w:pPr>
              <w:spacing w:after="120"/>
            </w:pPr>
          </w:p>
        </w:tc>
      </w:tr>
      <w:tr w:rsidR="00DF7541" w:rsidRPr="00586196" w:rsidTr="00D03D9F">
        <w:trPr>
          <w:gridAfter w:val="2"/>
          <w:wAfter w:w="75" w:type="dxa"/>
          <w:jc w:val="center"/>
        </w:trPr>
        <w:tc>
          <w:tcPr>
            <w:tcW w:w="4288" w:type="dxa"/>
            <w:shd w:val="clear" w:color="auto" w:fill="FFFFFF"/>
          </w:tcPr>
          <w:p w:rsidR="00B17155" w:rsidRDefault="00B17155" w:rsidP="00B17155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DF7541" w:rsidRPr="00586196" w:rsidRDefault="00FD4B47" w:rsidP="00B17155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8" w:type="dxa"/>
            <w:gridSpan w:val="4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30191C" w:rsidRPr="00586196" w:rsidTr="00D03D9F">
        <w:trPr>
          <w:gridAfter w:val="2"/>
          <w:wAfter w:w="75" w:type="dxa"/>
          <w:jc w:val="center"/>
        </w:trPr>
        <w:tc>
          <w:tcPr>
            <w:tcW w:w="4288" w:type="dxa"/>
            <w:shd w:val="clear" w:color="auto" w:fill="FFFFFF"/>
          </w:tcPr>
          <w:p w:rsidR="009A76BF" w:rsidRDefault="009A76BF" w:rsidP="009A76BF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30191C" w:rsidRDefault="009A76BF" w:rsidP="009A76BF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8" w:type="dxa"/>
            <w:gridSpan w:val="4"/>
            <w:shd w:val="clear" w:color="auto" w:fill="FFFFFF"/>
          </w:tcPr>
          <w:p w:rsidR="0030191C" w:rsidRPr="00586196" w:rsidRDefault="0030191C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30191C" w:rsidRPr="00586196" w:rsidRDefault="0030191C" w:rsidP="00586196">
            <w:pPr>
              <w:spacing w:after="120"/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30191C" w:rsidRPr="00586196" w:rsidRDefault="0030191C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30191C" w:rsidRPr="00586196" w:rsidRDefault="0030191C" w:rsidP="00586196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30191C" w:rsidRPr="00586196" w:rsidRDefault="0030191C" w:rsidP="00586196">
            <w:pPr>
              <w:spacing w:after="120"/>
            </w:pPr>
          </w:p>
        </w:tc>
      </w:tr>
      <w:tr w:rsidR="009A76BF" w:rsidRPr="00586196" w:rsidTr="00D03D9F">
        <w:trPr>
          <w:gridAfter w:val="2"/>
          <w:wAfter w:w="75" w:type="dxa"/>
          <w:jc w:val="center"/>
        </w:trPr>
        <w:tc>
          <w:tcPr>
            <w:tcW w:w="4288" w:type="dxa"/>
            <w:shd w:val="clear" w:color="auto" w:fill="FFFFFF"/>
          </w:tcPr>
          <w:p w:rsidR="009A76BF" w:rsidRDefault="009A76BF" w:rsidP="0000785D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00785D" w:rsidRDefault="009A76BF" w:rsidP="0000785D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</w:t>
            </w:r>
            <w:r w:rsidR="0000785D">
              <w:rPr>
                <w:rStyle w:val="Bodytext212pt"/>
                <w:rFonts w:ascii="Sylfaen" w:hAnsi="Sylfaen"/>
              </w:rPr>
              <w:t>рмения</w:t>
            </w:r>
          </w:p>
          <w:p w:rsidR="009A76BF" w:rsidRDefault="009A76BF" w:rsidP="009A76BF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8" w:type="dxa"/>
            <w:gridSpan w:val="4"/>
            <w:shd w:val="clear" w:color="auto" w:fill="FFFFFF"/>
          </w:tcPr>
          <w:p w:rsidR="009A76BF" w:rsidRPr="00586196" w:rsidRDefault="009A76BF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9A76BF" w:rsidRPr="00586196" w:rsidRDefault="009A76BF" w:rsidP="00586196">
            <w:pPr>
              <w:spacing w:after="120"/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9A76BF" w:rsidRPr="00586196" w:rsidRDefault="009A76BF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9A76BF" w:rsidRPr="00586196" w:rsidRDefault="009A76BF" w:rsidP="00586196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9A76BF" w:rsidRPr="00586196" w:rsidRDefault="009A76BF" w:rsidP="00586196">
            <w:pPr>
              <w:spacing w:after="120"/>
            </w:pPr>
          </w:p>
        </w:tc>
      </w:tr>
      <w:tr w:rsidR="0000785D" w:rsidRPr="00586196" w:rsidTr="00D03D9F">
        <w:trPr>
          <w:gridAfter w:val="2"/>
          <w:wAfter w:w="75" w:type="dxa"/>
          <w:jc w:val="center"/>
        </w:trPr>
        <w:tc>
          <w:tcPr>
            <w:tcW w:w="4288" w:type="dxa"/>
            <w:shd w:val="clear" w:color="auto" w:fill="FFFFFF"/>
          </w:tcPr>
          <w:p w:rsidR="0000785D" w:rsidRDefault="0000785D" w:rsidP="0000785D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00785D" w:rsidRDefault="0000785D" w:rsidP="0000785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8" w:type="dxa"/>
            <w:gridSpan w:val="4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</w:tr>
      <w:tr w:rsidR="0000785D" w:rsidRPr="00586196" w:rsidTr="00D03D9F">
        <w:trPr>
          <w:gridAfter w:val="2"/>
          <w:wAfter w:w="75" w:type="dxa"/>
          <w:jc w:val="center"/>
        </w:trPr>
        <w:tc>
          <w:tcPr>
            <w:tcW w:w="4288" w:type="dxa"/>
            <w:shd w:val="clear" w:color="auto" w:fill="FFFFFF"/>
          </w:tcPr>
          <w:p w:rsidR="0000785D" w:rsidRDefault="0000785D" w:rsidP="0000785D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00785D" w:rsidRDefault="0000785D" w:rsidP="0000785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8" w:type="dxa"/>
            <w:gridSpan w:val="4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</w:tr>
      <w:tr w:rsidR="0000785D" w:rsidRPr="00586196" w:rsidTr="00D03D9F">
        <w:trPr>
          <w:gridAfter w:val="2"/>
          <w:wAfter w:w="75" w:type="dxa"/>
          <w:jc w:val="center"/>
        </w:trPr>
        <w:tc>
          <w:tcPr>
            <w:tcW w:w="4288" w:type="dxa"/>
            <w:shd w:val="clear" w:color="auto" w:fill="FFFFFF"/>
          </w:tcPr>
          <w:p w:rsidR="0000785D" w:rsidRDefault="0000785D" w:rsidP="0000785D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00785D" w:rsidRDefault="0000785D" w:rsidP="0000785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8" w:type="dxa"/>
            <w:gridSpan w:val="4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</w:tr>
      <w:tr w:rsidR="0000785D" w:rsidRPr="00586196" w:rsidTr="00D03D9F">
        <w:trPr>
          <w:gridAfter w:val="2"/>
          <w:wAfter w:w="75" w:type="dxa"/>
          <w:jc w:val="center"/>
        </w:trPr>
        <w:tc>
          <w:tcPr>
            <w:tcW w:w="4288" w:type="dxa"/>
            <w:shd w:val="clear" w:color="auto" w:fill="FFFFFF"/>
          </w:tcPr>
          <w:p w:rsidR="00D4218D" w:rsidRDefault="00D4218D" w:rsidP="00D4218D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D4218D" w:rsidRDefault="00D4218D" w:rsidP="0000785D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00785D" w:rsidRDefault="0000785D" w:rsidP="00D4218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8" w:type="dxa"/>
            <w:gridSpan w:val="4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</w:tr>
      <w:tr w:rsidR="0000785D" w:rsidRPr="00586196" w:rsidTr="00D03D9F">
        <w:trPr>
          <w:gridAfter w:val="2"/>
          <w:wAfter w:w="75" w:type="dxa"/>
          <w:jc w:val="center"/>
        </w:trPr>
        <w:tc>
          <w:tcPr>
            <w:tcW w:w="4288" w:type="dxa"/>
            <w:shd w:val="clear" w:color="auto" w:fill="FFFFFF"/>
          </w:tcPr>
          <w:p w:rsidR="00D4218D" w:rsidRDefault="00D4218D" w:rsidP="0000785D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00785D" w:rsidRDefault="00D4218D" w:rsidP="00D4218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8" w:type="dxa"/>
            <w:gridSpan w:val="4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00785D" w:rsidRPr="00586196" w:rsidRDefault="0000785D" w:rsidP="00586196">
            <w:pPr>
              <w:spacing w:after="120"/>
            </w:pP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D4218D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D4218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D4218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6618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6618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6618C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446" w:rsidRDefault="00D32446" w:rsidP="00D32446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DF7541" w:rsidRPr="00586196" w:rsidRDefault="00D32446" w:rsidP="009A76BF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D32446" w:rsidRDefault="00D32446" w:rsidP="00D32446">
            <w:pPr>
              <w:pStyle w:val="Bodytext20"/>
              <w:shd w:val="clear" w:color="auto" w:fill="auto"/>
              <w:spacing w:line="240" w:lineRule="auto"/>
              <w:ind w:left="1060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DF7541" w:rsidRPr="00586196" w:rsidRDefault="00D32446" w:rsidP="00D32446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1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3508F7" w:rsidRDefault="003508F7" w:rsidP="003508F7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3508F7" w:rsidRDefault="003508F7" w:rsidP="003508F7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DF7541" w:rsidRPr="00586196" w:rsidRDefault="003508F7" w:rsidP="003508F7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1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FC219E" w:rsidRDefault="00FC219E" w:rsidP="00FC219E">
            <w:pPr>
              <w:pStyle w:val="Bodytext20"/>
              <w:shd w:val="clear" w:color="auto" w:fill="auto"/>
              <w:spacing w:line="240" w:lineRule="auto"/>
              <w:ind w:left="1060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DF7541" w:rsidRPr="00586196" w:rsidRDefault="003508F7" w:rsidP="00FC219E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1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FC219E" w:rsidRDefault="00FC219E" w:rsidP="00FC219E">
            <w:pPr>
              <w:pStyle w:val="Bodytext20"/>
              <w:shd w:val="clear" w:color="auto" w:fill="auto"/>
              <w:spacing w:line="240" w:lineRule="auto"/>
              <w:ind w:left="1060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DF7541" w:rsidRPr="00586196" w:rsidRDefault="00FC219E" w:rsidP="00FC219E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1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FC219E" w:rsidRDefault="00FC219E" w:rsidP="00FC219E">
            <w:pPr>
              <w:pStyle w:val="Bodytext20"/>
              <w:shd w:val="clear" w:color="auto" w:fill="auto"/>
              <w:spacing w:line="240" w:lineRule="auto"/>
              <w:ind w:left="1060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DF7541" w:rsidRPr="00586196" w:rsidRDefault="00FC219E" w:rsidP="00FC219E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1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AE127F" w:rsidRDefault="00AE127F" w:rsidP="00AE127F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</w:t>
            </w:r>
            <w:r>
              <w:rPr>
                <w:rStyle w:val="Bodytext212pt"/>
                <w:rFonts w:ascii="Sylfaen" w:hAnsi="Sylfaen"/>
              </w:rPr>
              <w:t>йской Федерации</w:t>
            </w:r>
          </w:p>
          <w:p w:rsidR="00AE127F" w:rsidRDefault="00AE127F" w:rsidP="00AE127F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DF7541" w:rsidRPr="00586196" w:rsidRDefault="00AE127F" w:rsidP="00AE127F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1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AE127F" w:rsidRDefault="00AE127F" w:rsidP="00AE127F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DF7541" w:rsidRPr="00586196" w:rsidRDefault="00AE127F" w:rsidP="00AE127F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1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285570" w:rsidRDefault="00285570" w:rsidP="00285570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DF7541" w:rsidRPr="00586196" w:rsidRDefault="00285570" w:rsidP="00285570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1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285570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28557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28557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8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D03D9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="00D03D9F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33C71" w:rsidRDefault="00933C71" w:rsidP="00933C71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DF7541" w:rsidRPr="00586196" w:rsidRDefault="00FD4B47" w:rsidP="00933C71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5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shd w:val="clear" w:color="auto" w:fill="FFFFFF"/>
          </w:tcPr>
          <w:p w:rsidR="00933C71" w:rsidRDefault="00933C71" w:rsidP="00933C71">
            <w:pPr>
              <w:pStyle w:val="Bodytext20"/>
              <w:shd w:val="clear" w:color="auto" w:fill="auto"/>
              <w:spacing w:line="240" w:lineRule="auto"/>
              <w:ind w:left="953" w:hanging="2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третьих государств**</w:t>
            </w:r>
          </w:p>
          <w:p w:rsidR="00933C71" w:rsidRDefault="00933C71" w:rsidP="00933C71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DF7541" w:rsidRPr="00586196" w:rsidRDefault="00FD4B47" w:rsidP="00933C71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56" w:type="dxa"/>
            <w:gridSpan w:val="4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shd w:val="clear" w:color="auto" w:fill="FFFFFF"/>
            <w:vAlign w:val="bottom"/>
          </w:tcPr>
          <w:p w:rsidR="00934A0D" w:rsidRDefault="00934A0D" w:rsidP="00934A0D">
            <w:pPr>
              <w:pStyle w:val="Bodytext20"/>
              <w:shd w:val="clear" w:color="auto" w:fill="auto"/>
              <w:spacing w:line="240" w:lineRule="auto"/>
              <w:ind w:left="1038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DF7541" w:rsidRPr="00586196" w:rsidRDefault="00FD4B47" w:rsidP="00934A0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56" w:type="dxa"/>
            <w:gridSpan w:val="4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shd w:val="clear" w:color="auto" w:fill="FFFFFF"/>
          </w:tcPr>
          <w:p w:rsidR="00934A0D" w:rsidRDefault="00934A0D" w:rsidP="00934A0D">
            <w:pPr>
              <w:pStyle w:val="Bodytext20"/>
              <w:shd w:val="clear" w:color="auto" w:fill="auto"/>
              <w:spacing w:line="240" w:lineRule="auto"/>
              <w:ind w:left="1361" w:hanging="301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DF7541" w:rsidRPr="00586196" w:rsidRDefault="00FD4B47" w:rsidP="00934A0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56" w:type="dxa"/>
            <w:gridSpan w:val="4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shd w:val="clear" w:color="auto" w:fill="FFFFFF"/>
          </w:tcPr>
          <w:p w:rsidR="00934A0D" w:rsidRDefault="00FD4B47" w:rsidP="00934A0D">
            <w:pPr>
              <w:pStyle w:val="Bodytext20"/>
              <w:shd w:val="clear" w:color="auto" w:fill="auto"/>
              <w:spacing w:line="240" w:lineRule="auto"/>
              <w:ind w:left="1361" w:hanging="301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</w:t>
            </w:r>
            <w:r w:rsidR="00934A0D">
              <w:rPr>
                <w:rStyle w:val="Bodytext212pt"/>
                <w:rFonts w:ascii="Sylfaen" w:hAnsi="Sylfaen"/>
              </w:rPr>
              <w:t>скую Республику</w:t>
            </w:r>
          </w:p>
          <w:p w:rsidR="00DF7541" w:rsidRPr="00934A0D" w:rsidRDefault="00FD4B47" w:rsidP="00934A0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</w:t>
            </w:r>
            <w:r w:rsidR="00934A0D" w:rsidRPr="00586196">
              <w:rPr>
                <w:rStyle w:val="Bodytext212pt"/>
                <w:rFonts w:ascii="Sylfaen" w:hAnsi="Sylfaen"/>
              </w:rPr>
              <w:t xml:space="preserve"> транспортом</w:t>
            </w:r>
          </w:p>
        </w:tc>
        <w:tc>
          <w:tcPr>
            <w:tcW w:w="142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56" w:type="dxa"/>
            <w:gridSpan w:val="4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934A0D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shd w:val="clear" w:color="auto" w:fill="FFFFFF"/>
          </w:tcPr>
          <w:p w:rsidR="00934A0D" w:rsidRDefault="00934A0D" w:rsidP="00934A0D">
            <w:pPr>
              <w:pStyle w:val="Bodytext20"/>
              <w:shd w:val="clear" w:color="auto" w:fill="auto"/>
              <w:spacing w:line="240" w:lineRule="auto"/>
              <w:ind w:left="1361" w:hanging="301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>
              <w:rPr>
                <w:rStyle w:val="Bodytext212pt"/>
                <w:rFonts w:ascii="Sylfaen" w:hAnsi="Sylfaen"/>
              </w:rPr>
              <w:t xml:space="preserve"> Российскую Федерацию</w:t>
            </w:r>
          </w:p>
          <w:p w:rsidR="00934A0D" w:rsidRPr="00586196" w:rsidRDefault="00934A0D" w:rsidP="00934A0D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934A0D" w:rsidRPr="00586196" w:rsidRDefault="00934A0D" w:rsidP="00586196">
            <w:pPr>
              <w:spacing w:after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934A0D" w:rsidRPr="00586196" w:rsidRDefault="00934A0D" w:rsidP="00586196">
            <w:pPr>
              <w:spacing w:after="120"/>
            </w:pPr>
          </w:p>
        </w:tc>
        <w:tc>
          <w:tcPr>
            <w:tcW w:w="580" w:type="dxa"/>
            <w:gridSpan w:val="2"/>
            <w:shd w:val="clear" w:color="auto" w:fill="FFFFFF"/>
          </w:tcPr>
          <w:p w:rsidR="00934A0D" w:rsidRPr="00586196" w:rsidRDefault="00934A0D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934A0D" w:rsidRPr="00586196" w:rsidRDefault="00934A0D" w:rsidP="00586196">
            <w:pPr>
              <w:spacing w:after="120"/>
            </w:pPr>
          </w:p>
        </w:tc>
        <w:tc>
          <w:tcPr>
            <w:tcW w:w="656" w:type="dxa"/>
            <w:gridSpan w:val="4"/>
            <w:shd w:val="clear" w:color="auto" w:fill="FFFFFF"/>
          </w:tcPr>
          <w:p w:rsidR="00934A0D" w:rsidRPr="00586196" w:rsidRDefault="00934A0D" w:rsidP="00586196">
            <w:pPr>
              <w:spacing w:after="120"/>
            </w:pPr>
          </w:p>
        </w:tc>
      </w:tr>
      <w:tr w:rsidR="00F4323F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shd w:val="clear" w:color="auto" w:fill="FFFFFF"/>
          </w:tcPr>
          <w:p w:rsidR="00F4323F" w:rsidRPr="00586196" w:rsidRDefault="00F4323F" w:rsidP="00F4323F">
            <w:pPr>
              <w:pStyle w:val="Bodytext20"/>
              <w:shd w:val="clear" w:color="auto" w:fill="auto"/>
              <w:spacing w:line="240" w:lineRule="auto"/>
              <w:ind w:left="442" w:hanging="442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Расходная часть - распределение Экспорт</w:t>
            </w:r>
          </w:p>
          <w:p w:rsidR="00F4323F" w:rsidRPr="00586196" w:rsidRDefault="00F4323F" w:rsidP="00CD3ED0">
            <w:pPr>
              <w:pStyle w:val="Bodytext20"/>
              <w:shd w:val="clear" w:color="auto" w:fill="auto"/>
              <w:spacing w:line="240" w:lineRule="auto"/>
              <w:ind w:left="658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26" w:type="dxa"/>
            <w:shd w:val="clear" w:color="auto" w:fill="FFFFFF"/>
          </w:tcPr>
          <w:p w:rsidR="00F4323F" w:rsidRPr="00586196" w:rsidRDefault="00F4323F" w:rsidP="00586196">
            <w:pPr>
              <w:spacing w:after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F4323F" w:rsidRPr="00586196" w:rsidRDefault="00F4323F" w:rsidP="00586196">
            <w:pPr>
              <w:spacing w:after="120"/>
            </w:pPr>
          </w:p>
        </w:tc>
        <w:tc>
          <w:tcPr>
            <w:tcW w:w="580" w:type="dxa"/>
            <w:gridSpan w:val="2"/>
            <w:shd w:val="clear" w:color="auto" w:fill="FFFFFF"/>
          </w:tcPr>
          <w:p w:rsidR="00F4323F" w:rsidRPr="00586196" w:rsidRDefault="00F4323F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F4323F" w:rsidRPr="00586196" w:rsidRDefault="00F4323F" w:rsidP="00586196">
            <w:pPr>
              <w:spacing w:after="120"/>
            </w:pPr>
          </w:p>
        </w:tc>
        <w:tc>
          <w:tcPr>
            <w:tcW w:w="656" w:type="dxa"/>
            <w:gridSpan w:val="4"/>
            <w:shd w:val="clear" w:color="auto" w:fill="FFFFFF"/>
          </w:tcPr>
          <w:p w:rsidR="00F4323F" w:rsidRPr="00586196" w:rsidRDefault="00F4323F" w:rsidP="00586196">
            <w:pPr>
              <w:spacing w:after="120"/>
            </w:pPr>
          </w:p>
        </w:tc>
      </w:tr>
      <w:tr w:rsidR="00CD3ED0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shd w:val="clear" w:color="auto" w:fill="FFFFFF"/>
          </w:tcPr>
          <w:p w:rsidR="00CD3ED0" w:rsidRDefault="00CD3ED0" w:rsidP="00CD3ED0">
            <w:pPr>
              <w:pStyle w:val="Bodytext20"/>
              <w:shd w:val="clear" w:color="auto" w:fill="auto"/>
              <w:spacing w:line="240" w:lineRule="auto"/>
              <w:ind w:left="826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C4761C" w:rsidRDefault="00C4761C" w:rsidP="00C4761C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D3ED0" w:rsidRPr="00586196" w:rsidRDefault="00CD3ED0" w:rsidP="00C4761C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D3ED0" w:rsidRPr="00586196" w:rsidRDefault="00CD3ED0" w:rsidP="00586196">
            <w:pPr>
              <w:spacing w:after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D3ED0" w:rsidRPr="00586196" w:rsidRDefault="00CD3ED0" w:rsidP="00586196">
            <w:pPr>
              <w:spacing w:after="120"/>
            </w:pPr>
          </w:p>
        </w:tc>
        <w:tc>
          <w:tcPr>
            <w:tcW w:w="580" w:type="dxa"/>
            <w:gridSpan w:val="2"/>
            <w:shd w:val="clear" w:color="auto" w:fill="FFFFFF"/>
          </w:tcPr>
          <w:p w:rsidR="00CD3ED0" w:rsidRPr="00586196" w:rsidRDefault="00CD3ED0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CD3ED0" w:rsidRPr="00586196" w:rsidRDefault="00CD3ED0" w:rsidP="00586196">
            <w:pPr>
              <w:spacing w:after="120"/>
            </w:pPr>
          </w:p>
        </w:tc>
        <w:tc>
          <w:tcPr>
            <w:tcW w:w="656" w:type="dxa"/>
            <w:gridSpan w:val="4"/>
            <w:shd w:val="clear" w:color="auto" w:fill="FFFFFF"/>
          </w:tcPr>
          <w:p w:rsidR="00CD3ED0" w:rsidRPr="00586196" w:rsidRDefault="00CD3ED0" w:rsidP="00586196">
            <w:pPr>
              <w:spacing w:after="120"/>
            </w:pPr>
          </w:p>
        </w:tc>
      </w:tr>
      <w:tr w:rsidR="00C4761C" w:rsidRPr="00586196" w:rsidTr="00D03D9F">
        <w:trPr>
          <w:gridAfter w:val="1"/>
          <w:wAfter w:w="8" w:type="dxa"/>
          <w:jc w:val="center"/>
        </w:trPr>
        <w:tc>
          <w:tcPr>
            <w:tcW w:w="4309" w:type="dxa"/>
            <w:gridSpan w:val="3"/>
            <w:shd w:val="clear" w:color="auto" w:fill="FFFFFF"/>
          </w:tcPr>
          <w:p w:rsidR="00C4761C" w:rsidRDefault="00C4761C" w:rsidP="00C4761C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4761C" w:rsidRDefault="00C4761C" w:rsidP="00C4761C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4761C" w:rsidRPr="00586196" w:rsidRDefault="00C4761C" w:rsidP="00586196">
            <w:pPr>
              <w:spacing w:after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4761C" w:rsidRPr="00586196" w:rsidRDefault="00C4761C" w:rsidP="00586196">
            <w:pPr>
              <w:spacing w:after="120"/>
            </w:pPr>
          </w:p>
        </w:tc>
        <w:tc>
          <w:tcPr>
            <w:tcW w:w="580" w:type="dxa"/>
            <w:gridSpan w:val="2"/>
            <w:shd w:val="clear" w:color="auto" w:fill="FFFFFF"/>
          </w:tcPr>
          <w:p w:rsidR="00C4761C" w:rsidRPr="00586196" w:rsidRDefault="00C4761C" w:rsidP="00586196">
            <w:pPr>
              <w:spacing w:after="120"/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C4761C" w:rsidRPr="00586196" w:rsidRDefault="00C4761C" w:rsidP="00586196">
            <w:pPr>
              <w:spacing w:after="120"/>
            </w:pPr>
          </w:p>
        </w:tc>
        <w:tc>
          <w:tcPr>
            <w:tcW w:w="656" w:type="dxa"/>
            <w:gridSpan w:val="4"/>
            <w:shd w:val="clear" w:color="auto" w:fill="FFFFFF"/>
          </w:tcPr>
          <w:p w:rsidR="00C4761C" w:rsidRPr="00586196" w:rsidRDefault="00C4761C" w:rsidP="00586196">
            <w:pPr>
              <w:spacing w:after="120"/>
            </w:pPr>
          </w:p>
        </w:tc>
      </w:tr>
    </w:tbl>
    <w:p w:rsidR="00C4761C" w:rsidRDefault="00C4761C">
      <w:r>
        <w:br w:type="page"/>
      </w:r>
    </w:p>
    <w:tbl>
      <w:tblPr>
        <w:tblOverlap w:val="never"/>
        <w:tblW w:w="8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2"/>
        <w:gridCol w:w="11"/>
        <w:gridCol w:w="1444"/>
        <w:gridCol w:w="1454"/>
        <w:gridCol w:w="574"/>
        <w:gridCol w:w="568"/>
        <w:gridCol w:w="583"/>
      </w:tblGrid>
      <w:tr w:rsidR="00DF7541" w:rsidRPr="00586196" w:rsidTr="00CA544E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826FE7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826FE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826FE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CA544E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CA544E">
        <w:trPr>
          <w:jc w:val="center"/>
        </w:trPr>
        <w:tc>
          <w:tcPr>
            <w:tcW w:w="42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6FE7" w:rsidRDefault="00826FE7" w:rsidP="00826FE7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DF7541" w:rsidRPr="00586196" w:rsidRDefault="00826FE7" w:rsidP="00826FE7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826FE7" w:rsidRDefault="00826FE7" w:rsidP="00826FE7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DF7541" w:rsidRPr="00586196" w:rsidRDefault="00826FE7" w:rsidP="00826FE7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292" w:type="dxa"/>
            <w:shd w:val="clear" w:color="auto" w:fill="FFFFFF"/>
          </w:tcPr>
          <w:p w:rsidR="00745197" w:rsidRDefault="00745197" w:rsidP="00745197">
            <w:pPr>
              <w:pStyle w:val="Bodytext20"/>
              <w:shd w:val="clear" w:color="auto" w:fill="auto"/>
              <w:spacing w:line="240" w:lineRule="auto"/>
              <w:ind w:left="826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745197" w:rsidRDefault="00745197" w:rsidP="00745197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745197" w:rsidP="00745197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292" w:type="dxa"/>
            <w:shd w:val="clear" w:color="auto" w:fill="FFFFFF"/>
          </w:tcPr>
          <w:p w:rsidR="00DD2D9C" w:rsidRDefault="00745197" w:rsidP="00745197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</w:t>
            </w:r>
            <w:r w:rsidR="00DD2D9C">
              <w:rPr>
                <w:rStyle w:val="Bodytext212pt"/>
                <w:rFonts w:ascii="Sylfaen" w:hAnsi="Sylfaen"/>
              </w:rPr>
              <w:t>захстан</w:t>
            </w:r>
          </w:p>
          <w:p w:rsidR="00DF7541" w:rsidRPr="00586196" w:rsidRDefault="00745197" w:rsidP="00DD2D9C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DD2D9C" w:rsidRDefault="00DD2D9C" w:rsidP="00DD2D9C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DF7541" w:rsidRPr="00586196" w:rsidRDefault="00DD2D9C" w:rsidP="00DD2D9C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DD2D9C" w:rsidRDefault="00DD2D9C" w:rsidP="00DD2D9C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DF7541" w:rsidRPr="00586196" w:rsidRDefault="00DD2D9C" w:rsidP="00DD2D9C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DD2D9C" w:rsidRDefault="00DD2D9C" w:rsidP="00DD2D9C">
            <w:pPr>
              <w:pStyle w:val="Bodytext20"/>
              <w:shd w:val="clear" w:color="auto" w:fill="auto"/>
              <w:spacing w:line="240" w:lineRule="auto"/>
              <w:ind w:left="826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DD2D9C" w:rsidRDefault="00DD2D9C" w:rsidP="00DD2D9C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DD2D9C" w:rsidP="008C6E75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</w:t>
            </w:r>
            <w:r w:rsidR="008C6E75" w:rsidRPr="00586196">
              <w:rPr>
                <w:rStyle w:val="Bodytext212pt"/>
                <w:rFonts w:ascii="Sylfaen" w:hAnsi="Sylfaen"/>
              </w:rPr>
              <w:t xml:space="preserve"> трубопроводным транспортом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8C6E75" w:rsidRDefault="008C6E75" w:rsidP="008C6E75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DF7541" w:rsidRPr="00586196" w:rsidRDefault="008C6E75" w:rsidP="008C6E75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292" w:type="dxa"/>
            <w:shd w:val="clear" w:color="auto" w:fill="FFFFFF"/>
          </w:tcPr>
          <w:p w:rsidR="006B13BA" w:rsidRDefault="006B13BA" w:rsidP="006B13BA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DF7541" w:rsidRPr="00586196" w:rsidRDefault="008C6E75" w:rsidP="006B13BA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5637FB">
            <w:pPr>
              <w:pStyle w:val="Bodytext20"/>
              <w:shd w:val="clear" w:color="auto" w:fill="auto"/>
              <w:spacing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5637FB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5637FB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637FB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637FB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637FB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637FB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721" w:rsidRDefault="00365721" w:rsidP="005637FB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DF7541" w:rsidRPr="00586196" w:rsidRDefault="00365721" w:rsidP="005637F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637FB"/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637FB"/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637FB"/>
        </w:tc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637FB"/>
        </w:tc>
        <w:tc>
          <w:tcPr>
            <w:tcW w:w="583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637FB"/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365721" w:rsidRDefault="00365721" w:rsidP="005637FB">
            <w:pPr>
              <w:pStyle w:val="Bodytext20"/>
              <w:shd w:val="clear" w:color="auto" w:fill="auto"/>
              <w:spacing w:line="240" w:lineRule="auto"/>
              <w:ind w:left="826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365721" w:rsidRDefault="00365721" w:rsidP="005637FB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365721" w:rsidP="005637F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145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7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68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83" w:type="dxa"/>
            <w:shd w:val="clear" w:color="auto" w:fill="FFFFFF"/>
          </w:tcPr>
          <w:p w:rsidR="00DF7541" w:rsidRPr="00586196" w:rsidRDefault="00DF7541" w:rsidP="005637FB"/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365721" w:rsidRDefault="00365721" w:rsidP="005637FB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</w:t>
            </w:r>
            <w:r>
              <w:rPr>
                <w:rStyle w:val="Bodytext212pt"/>
                <w:rFonts w:ascii="Sylfaen" w:hAnsi="Sylfaen"/>
              </w:rPr>
              <w:t>арусь</w:t>
            </w:r>
          </w:p>
          <w:p w:rsidR="00DF7541" w:rsidRPr="00586196" w:rsidRDefault="00365721" w:rsidP="005637F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145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7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68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83" w:type="dxa"/>
            <w:shd w:val="clear" w:color="auto" w:fill="FFFFFF"/>
          </w:tcPr>
          <w:p w:rsidR="00DF7541" w:rsidRPr="00586196" w:rsidRDefault="00DF7541" w:rsidP="005637FB"/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365721" w:rsidRDefault="00365721" w:rsidP="005637FB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DF7541" w:rsidRPr="00586196" w:rsidRDefault="00365721" w:rsidP="005637F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145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7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68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83" w:type="dxa"/>
            <w:shd w:val="clear" w:color="auto" w:fill="FFFFFF"/>
          </w:tcPr>
          <w:p w:rsidR="00DF7541" w:rsidRPr="00586196" w:rsidRDefault="00DF7541" w:rsidP="005637FB"/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F30C79" w:rsidRDefault="00365721" w:rsidP="005637FB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DF7541" w:rsidRPr="00586196" w:rsidRDefault="00365721" w:rsidP="005637F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145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7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68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83" w:type="dxa"/>
            <w:shd w:val="clear" w:color="auto" w:fill="FFFFFF"/>
          </w:tcPr>
          <w:p w:rsidR="00DF7541" w:rsidRPr="00586196" w:rsidRDefault="00DF7541" w:rsidP="005637FB"/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F30C79" w:rsidRDefault="00F30C79" w:rsidP="005637FB">
            <w:pPr>
              <w:pStyle w:val="Bodytext20"/>
              <w:shd w:val="clear" w:color="auto" w:fill="auto"/>
              <w:spacing w:line="240" w:lineRule="auto"/>
              <w:ind w:left="826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F30C79" w:rsidRDefault="00F30C79" w:rsidP="005637FB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F30C79" w:rsidP="005637F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145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7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68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83" w:type="dxa"/>
            <w:shd w:val="clear" w:color="auto" w:fill="FFFFFF"/>
          </w:tcPr>
          <w:p w:rsidR="00DF7541" w:rsidRPr="00586196" w:rsidRDefault="00DF7541" w:rsidP="005637FB"/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F30C79" w:rsidRDefault="00F30C79" w:rsidP="005637FB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DF7541" w:rsidRPr="00586196" w:rsidRDefault="00F30C79" w:rsidP="005637F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145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7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68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83" w:type="dxa"/>
            <w:shd w:val="clear" w:color="auto" w:fill="FFFFFF"/>
          </w:tcPr>
          <w:p w:rsidR="00DF7541" w:rsidRPr="00586196" w:rsidRDefault="00DF7541" w:rsidP="005637FB"/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F30C79" w:rsidRDefault="00F30C79" w:rsidP="005637FB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DF7541" w:rsidRPr="00586196" w:rsidRDefault="00F30C79" w:rsidP="005637F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145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7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68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83" w:type="dxa"/>
            <w:shd w:val="clear" w:color="auto" w:fill="FFFFFF"/>
          </w:tcPr>
          <w:p w:rsidR="00DF7541" w:rsidRPr="00586196" w:rsidRDefault="00DF7541" w:rsidP="005637FB"/>
        </w:tc>
      </w:tr>
      <w:tr w:rsidR="00DF7541" w:rsidRPr="00586196" w:rsidTr="00CA544E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F30C79" w:rsidRDefault="00F30C79" w:rsidP="005637FB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DF7541" w:rsidRPr="00586196" w:rsidRDefault="00F30C79" w:rsidP="005637F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145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74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68" w:type="dxa"/>
            <w:shd w:val="clear" w:color="auto" w:fill="FFFFFF"/>
          </w:tcPr>
          <w:p w:rsidR="00DF7541" w:rsidRPr="00586196" w:rsidRDefault="00DF7541" w:rsidP="005637FB"/>
        </w:tc>
        <w:tc>
          <w:tcPr>
            <w:tcW w:w="583" w:type="dxa"/>
            <w:shd w:val="clear" w:color="auto" w:fill="FFFFFF"/>
          </w:tcPr>
          <w:p w:rsidR="00DF7541" w:rsidRPr="00586196" w:rsidRDefault="00DF7541" w:rsidP="005637FB"/>
        </w:tc>
      </w:tr>
    </w:tbl>
    <w:p w:rsidR="00CA544E" w:rsidRDefault="00CA544E">
      <w:r>
        <w:br w:type="page"/>
      </w:r>
    </w:p>
    <w:tbl>
      <w:tblPr>
        <w:tblOverlap w:val="never"/>
        <w:tblW w:w="92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1440"/>
        <w:gridCol w:w="1458"/>
        <w:gridCol w:w="691"/>
        <w:gridCol w:w="706"/>
        <w:gridCol w:w="688"/>
      </w:tblGrid>
      <w:tr w:rsidR="00DF7541" w:rsidRPr="00586196" w:rsidTr="00CA544E">
        <w:trPr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CA544E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CA544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CA544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EB3474">
        <w:trPr>
          <w:jc w:val="center"/>
        </w:trPr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EB3474">
        <w:trPr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37FB" w:rsidRDefault="00FD4B47" w:rsidP="005637FB">
            <w:pPr>
              <w:pStyle w:val="Bodytext20"/>
              <w:shd w:val="clear" w:color="auto" w:fill="auto"/>
              <w:spacing w:line="240" w:lineRule="auto"/>
              <w:ind w:left="826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в третьи государства</w:t>
            </w:r>
          </w:p>
          <w:p w:rsidR="005637FB" w:rsidRDefault="005637FB" w:rsidP="005637FB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DF7541" w:rsidRPr="00586196" w:rsidRDefault="00FD4B47" w:rsidP="005637FB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EB3474" w:rsidRDefault="00FD4B47" w:rsidP="00EB3474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DF7541" w:rsidRPr="00586196" w:rsidRDefault="00FD4B47" w:rsidP="00EB3474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306" w:type="dxa"/>
            <w:shd w:val="clear" w:color="auto" w:fill="FFFFFF"/>
          </w:tcPr>
          <w:p w:rsidR="00EB3474" w:rsidRDefault="00EB3474" w:rsidP="00EB3474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DF7541" w:rsidRPr="00586196" w:rsidRDefault="00FD4B47" w:rsidP="00EB3474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EB3474" w:rsidRDefault="00EB3474" w:rsidP="00EB3474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DF7541" w:rsidRPr="00586196" w:rsidRDefault="00FD4B47" w:rsidP="00EB3474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EB3474" w:rsidRDefault="00EB3474" w:rsidP="00EB3474">
            <w:pPr>
              <w:pStyle w:val="Bodytext20"/>
              <w:shd w:val="clear" w:color="auto" w:fill="auto"/>
              <w:spacing w:line="240" w:lineRule="auto"/>
              <w:ind w:left="1092" w:firstLine="0"/>
              <w:rPr>
                <w:rStyle w:val="Bodytext212pt"/>
                <w:rFonts w:ascii="Sylfaen" w:hAnsi="Sylfaen"/>
                <w:lang w:val="hy-AM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DF7541" w:rsidRPr="00586196" w:rsidRDefault="00FD4B47" w:rsidP="00EB3474">
            <w:pPr>
              <w:pStyle w:val="Bodytext20"/>
              <w:shd w:val="clear" w:color="auto" w:fill="auto"/>
              <w:spacing w:line="240" w:lineRule="auto"/>
              <w:ind w:left="1304" w:right="556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27273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27273">
        <w:trPr>
          <w:trHeight w:val="360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DF7541" w:rsidRPr="00586196" w:rsidRDefault="00EB3474" w:rsidP="00027273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17D68" w:rsidRPr="00586196" w:rsidTr="00027273">
        <w:trPr>
          <w:trHeight w:val="304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D17D68" w:rsidRDefault="00D17D68" w:rsidP="00027273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</w:tr>
      <w:tr w:rsidR="00D17D68" w:rsidRPr="00586196" w:rsidTr="00027273">
        <w:trPr>
          <w:trHeight w:val="333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D17D68" w:rsidRDefault="00D17D68" w:rsidP="00027273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</w:tr>
      <w:tr w:rsidR="00D17D68" w:rsidRPr="00586196" w:rsidTr="00027273">
        <w:trPr>
          <w:trHeight w:val="345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D17D68" w:rsidRDefault="00D17D68" w:rsidP="00027273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</w:tr>
      <w:tr w:rsidR="00027273" w:rsidRPr="00586196" w:rsidTr="00027273">
        <w:trPr>
          <w:trHeight w:val="272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27273" w:rsidRDefault="00027273" w:rsidP="00027273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027273" w:rsidRPr="00586196" w:rsidRDefault="00027273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027273" w:rsidRPr="00586196" w:rsidRDefault="00027273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027273" w:rsidRPr="00586196" w:rsidRDefault="00027273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027273" w:rsidRPr="00586196" w:rsidRDefault="00027273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027273" w:rsidRPr="00586196" w:rsidRDefault="00027273" w:rsidP="00586196">
            <w:pPr>
              <w:spacing w:after="120"/>
            </w:pPr>
          </w:p>
        </w:tc>
      </w:tr>
      <w:tr w:rsidR="00DF7541" w:rsidRPr="00586196" w:rsidTr="00CA544E">
        <w:trPr>
          <w:jc w:val="center"/>
        </w:trPr>
        <w:tc>
          <w:tcPr>
            <w:tcW w:w="4306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Потери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9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7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8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664F04" w:rsidRDefault="00664F04" w:rsidP="00586196">
      <w:pPr>
        <w:spacing w:after="120"/>
      </w:pPr>
    </w:p>
    <w:p w:rsidR="00664F04" w:rsidRDefault="00664F04">
      <w:r>
        <w:br w:type="page"/>
      </w:r>
    </w:p>
    <w:p w:rsidR="00DF7541" w:rsidRPr="00586196" w:rsidRDefault="00FD4B47" w:rsidP="00E67E41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ПРИЛОЖЕНИЕ № 5</w:t>
      </w:r>
    </w:p>
    <w:p w:rsidR="00DF7541" w:rsidRDefault="00FD4B47" w:rsidP="00E67E41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A27FA8" w:rsidRPr="00A27FA8" w:rsidRDefault="00A27FA8" w:rsidP="00E67E41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DF7541" w:rsidRPr="00586196" w:rsidRDefault="00FD4B47" w:rsidP="00586196">
      <w:pPr>
        <w:pStyle w:val="Bodytext100"/>
        <w:shd w:val="clear" w:color="auto" w:fill="auto"/>
        <w:spacing w:before="0" w:after="120" w:line="240" w:lineRule="auto"/>
        <w:ind w:right="300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 баланс бензина автомобильного</w:t>
      </w:r>
    </w:p>
    <w:p w:rsidR="00DF7541" w:rsidRPr="00586196" w:rsidRDefault="00A27FA8" w:rsidP="00A27FA8">
      <w:pPr>
        <w:pStyle w:val="Bodytext100"/>
        <w:shd w:val="clear" w:color="auto" w:fill="auto"/>
        <w:spacing w:before="0" w:after="0" w:line="240" w:lineRule="auto"/>
        <w:ind w:right="30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_________</w:t>
      </w:r>
      <w:r w:rsidR="00FD4B47" w:rsidRPr="00586196">
        <w:rPr>
          <w:rFonts w:ascii="Sylfaen" w:hAnsi="Sylfaen"/>
          <w:sz w:val="24"/>
          <w:szCs w:val="24"/>
        </w:rPr>
        <w:t>_______________________________________________________________</w:t>
      </w:r>
    </w:p>
    <w:p w:rsidR="00DF7541" w:rsidRPr="00A27FA8" w:rsidRDefault="00FD4B47" w:rsidP="00586196">
      <w:pPr>
        <w:pStyle w:val="Bodytext90"/>
        <w:shd w:val="clear" w:color="auto" w:fill="auto"/>
        <w:spacing w:after="120" w:line="240" w:lineRule="auto"/>
        <w:ind w:right="300"/>
        <w:jc w:val="center"/>
        <w:rPr>
          <w:rFonts w:ascii="Sylfaen" w:hAnsi="Sylfaen"/>
          <w:sz w:val="20"/>
          <w:szCs w:val="20"/>
        </w:rPr>
      </w:pPr>
      <w:r w:rsidRPr="00A27FA8">
        <w:rPr>
          <w:rStyle w:val="Bodytext91"/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DF7541" w:rsidRPr="00586196" w:rsidRDefault="00FD4B47" w:rsidP="00A27FA8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- 20__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годы</w:t>
      </w:r>
    </w:p>
    <w:p w:rsidR="00DF7541" w:rsidRPr="00586196" w:rsidRDefault="00FD4B47" w:rsidP="00A27FA8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(тыс. тонн)</w:t>
      </w:r>
    </w:p>
    <w:tbl>
      <w:tblPr>
        <w:tblOverlap w:val="never"/>
        <w:tblW w:w="8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1454"/>
        <w:gridCol w:w="1454"/>
        <w:gridCol w:w="559"/>
        <w:gridCol w:w="567"/>
        <w:gridCol w:w="589"/>
      </w:tblGrid>
      <w:tr w:rsidR="00DF7541" w:rsidRPr="00586196" w:rsidTr="00093AC3">
        <w:trPr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093AC3">
            <w:pPr>
              <w:pStyle w:val="Bodytext20"/>
              <w:shd w:val="clear" w:color="auto" w:fill="auto"/>
              <w:spacing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093AC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093AC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093AC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093AC3">
        <w:trPr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093AC3"/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093AC3"/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093AC3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093AC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093AC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093AC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093AC3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 Производство</w:t>
            </w:r>
            <w:r w:rsidR="00126021" w:rsidRPr="002C10A5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10"/>
              <w:t>*</w:t>
            </w:r>
          </w:p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93AC3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  <w:p w:rsidR="00DF7541" w:rsidRPr="00586196" w:rsidRDefault="00FD4B47" w:rsidP="00527B2D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  <w:r w:rsidR="00126021" w:rsidRPr="002C10A5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11"/>
              <w:t>**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2C10A5" w:rsidRPr="00586196" w:rsidTr="00093AC3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2C10A5" w:rsidRPr="002C10A5" w:rsidRDefault="002C10A5" w:rsidP="002C10A5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54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</w:tr>
      <w:tr w:rsidR="002C10A5" w:rsidRPr="00586196" w:rsidTr="00093AC3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2C10A5" w:rsidRPr="002C10A5" w:rsidRDefault="002C10A5" w:rsidP="002C10A5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54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</w:tr>
      <w:tr w:rsidR="002C10A5" w:rsidRPr="00586196" w:rsidTr="00093AC3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2C10A5" w:rsidRPr="002C10A5" w:rsidRDefault="002C10A5" w:rsidP="002C10A5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54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</w:tr>
      <w:tr w:rsidR="002C10A5" w:rsidRPr="00586196" w:rsidTr="00093AC3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2C10A5" w:rsidRPr="002C10A5" w:rsidRDefault="002C10A5" w:rsidP="002C10A5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54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</w:tr>
      <w:tr w:rsidR="002C10A5" w:rsidRPr="00586196" w:rsidTr="00093AC3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2C10A5" w:rsidRPr="002C10A5" w:rsidRDefault="002C10A5" w:rsidP="002C10A5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54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2C10A5" w:rsidRPr="00586196" w:rsidRDefault="002C10A5" w:rsidP="00586196">
            <w:pPr>
              <w:spacing w:after="120"/>
            </w:pPr>
          </w:p>
        </w:tc>
      </w:tr>
      <w:tr w:rsidR="00DF7541" w:rsidRPr="00586196" w:rsidTr="00093AC3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773ECE" w:rsidRPr="00EA23D3" w:rsidRDefault="00773ECE" w:rsidP="00773ECE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третьих государств*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093AC3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17D6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B707EE">
            <w:pPr>
              <w:pStyle w:val="Bodytext20"/>
              <w:shd w:val="clear" w:color="auto" w:fill="auto"/>
              <w:spacing w:line="240" w:lineRule="auto"/>
              <w:ind w:left="442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Экспорт</w:t>
            </w:r>
          </w:p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государства-члены**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17D68">
        <w:trPr>
          <w:trHeight w:val="315"/>
          <w:jc w:val="center"/>
        </w:trPr>
        <w:tc>
          <w:tcPr>
            <w:tcW w:w="4295" w:type="dxa"/>
            <w:shd w:val="clear" w:color="auto" w:fill="FFFFFF"/>
          </w:tcPr>
          <w:p w:rsidR="00EB5D48" w:rsidRPr="00EA23D3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17D68" w:rsidRPr="00586196" w:rsidTr="00D17D68">
        <w:trPr>
          <w:trHeight w:val="555"/>
          <w:jc w:val="center"/>
        </w:trPr>
        <w:tc>
          <w:tcPr>
            <w:tcW w:w="4295" w:type="dxa"/>
            <w:shd w:val="clear" w:color="auto" w:fill="FFFFFF"/>
          </w:tcPr>
          <w:p w:rsidR="00D17D68" w:rsidRPr="00586196" w:rsidRDefault="00D17D68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4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</w:tr>
      <w:tr w:rsidR="00B87B0F" w:rsidRPr="00586196" w:rsidTr="00093AC3">
        <w:trPr>
          <w:trHeight w:val="510"/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0F" w:rsidRPr="00586196" w:rsidRDefault="00B87B0F" w:rsidP="00093AC3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0F" w:rsidRPr="00586196" w:rsidRDefault="00B87B0F" w:rsidP="00093A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0F" w:rsidRPr="00586196" w:rsidRDefault="00B87B0F" w:rsidP="00093A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B0F" w:rsidRPr="00586196" w:rsidRDefault="00B87B0F" w:rsidP="00093A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B87B0F" w:rsidRPr="00586196" w:rsidTr="00093AC3">
        <w:trPr>
          <w:trHeight w:val="555"/>
          <w:jc w:val="center"/>
        </w:trPr>
        <w:tc>
          <w:tcPr>
            <w:tcW w:w="4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B0F" w:rsidRPr="00586196" w:rsidRDefault="00B87B0F" w:rsidP="00B87B0F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Style w:val="Bodytext212pt"/>
                <w:rFonts w:ascii="Sylfaen" w:hAnsi="Sylfaen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B0F" w:rsidRPr="00586196" w:rsidRDefault="00B87B0F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B0F" w:rsidRPr="00586196" w:rsidRDefault="00B87B0F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B0F" w:rsidRPr="00586196" w:rsidRDefault="00B87B0F" w:rsidP="00093A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B0F" w:rsidRPr="00586196" w:rsidRDefault="00B87B0F" w:rsidP="00093A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B0F" w:rsidRPr="00586196" w:rsidRDefault="00B87B0F" w:rsidP="00093A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B87B0F" w:rsidRPr="00586196" w:rsidTr="00D17D68">
        <w:trPr>
          <w:trHeight w:val="420"/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</w:tcPr>
          <w:p w:rsidR="00B87B0F" w:rsidRPr="00586196" w:rsidRDefault="00B87B0F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B87B0F" w:rsidRPr="00586196" w:rsidRDefault="00B87B0F" w:rsidP="00586196">
            <w:pPr>
              <w:spacing w:after="120"/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B87B0F" w:rsidRPr="00586196" w:rsidRDefault="00B87B0F" w:rsidP="00586196">
            <w:pPr>
              <w:spacing w:after="120"/>
            </w:pP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FFFFFF"/>
          </w:tcPr>
          <w:p w:rsidR="00B87B0F" w:rsidRPr="00586196" w:rsidRDefault="00B87B0F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B87B0F" w:rsidRPr="00586196" w:rsidRDefault="00B87B0F" w:rsidP="00586196">
            <w:pPr>
              <w:spacing w:after="120"/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B87B0F" w:rsidRPr="00586196" w:rsidRDefault="00B87B0F" w:rsidP="00586196">
            <w:pPr>
              <w:spacing w:after="120"/>
            </w:pPr>
          </w:p>
        </w:tc>
      </w:tr>
      <w:tr w:rsidR="00D17D68" w:rsidRPr="00586196" w:rsidTr="00D17D68">
        <w:trPr>
          <w:trHeight w:val="360"/>
          <w:jc w:val="center"/>
        </w:trPr>
        <w:tc>
          <w:tcPr>
            <w:tcW w:w="4295" w:type="dxa"/>
            <w:shd w:val="clear" w:color="auto" w:fill="FFFFFF"/>
          </w:tcPr>
          <w:p w:rsidR="00D17D68" w:rsidRPr="00586196" w:rsidRDefault="00D17D68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4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</w:tr>
      <w:tr w:rsidR="00D17D68" w:rsidRPr="00586196" w:rsidTr="00D17D68">
        <w:trPr>
          <w:trHeight w:val="345"/>
          <w:jc w:val="center"/>
        </w:trPr>
        <w:tc>
          <w:tcPr>
            <w:tcW w:w="4295" w:type="dxa"/>
            <w:shd w:val="clear" w:color="auto" w:fill="FFFFFF"/>
          </w:tcPr>
          <w:p w:rsidR="00D17D68" w:rsidRPr="00586196" w:rsidRDefault="00D17D68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4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</w:tr>
      <w:tr w:rsidR="00D17D68" w:rsidRPr="00586196" w:rsidTr="00D17D68">
        <w:trPr>
          <w:trHeight w:val="585"/>
          <w:jc w:val="center"/>
        </w:trPr>
        <w:tc>
          <w:tcPr>
            <w:tcW w:w="4295" w:type="dxa"/>
            <w:shd w:val="clear" w:color="auto" w:fill="FFFFFF"/>
          </w:tcPr>
          <w:p w:rsidR="00D17D68" w:rsidRPr="00586196" w:rsidRDefault="00D17D68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третьи государства*</w:t>
            </w:r>
          </w:p>
        </w:tc>
        <w:tc>
          <w:tcPr>
            <w:tcW w:w="1454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D17D68" w:rsidRPr="00586196" w:rsidRDefault="00D17D68" w:rsidP="00586196">
            <w:pPr>
              <w:spacing w:after="120"/>
            </w:pPr>
          </w:p>
        </w:tc>
      </w:tr>
      <w:tr w:rsidR="00B87B0F" w:rsidRPr="00586196" w:rsidTr="00093AC3">
        <w:trPr>
          <w:jc w:val="center"/>
        </w:trPr>
        <w:tc>
          <w:tcPr>
            <w:tcW w:w="4295" w:type="dxa"/>
            <w:shd w:val="clear" w:color="auto" w:fill="FFFFFF"/>
          </w:tcPr>
          <w:p w:rsidR="00B87B0F" w:rsidRPr="00586196" w:rsidRDefault="00B87B0F" w:rsidP="00B87B0F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54" w:type="dxa"/>
            <w:shd w:val="clear" w:color="auto" w:fill="FFFFFF"/>
          </w:tcPr>
          <w:p w:rsidR="00B87B0F" w:rsidRPr="00586196" w:rsidRDefault="00B87B0F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B87B0F" w:rsidRPr="00586196" w:rsidRDefault="00B87B0F" w:rsidP="00586196">
            <w:pPr>
              <w:spacing w:after="120"/>
            </w:pPr>
          </w:p>
        </w:tc>
        <w:tc>
          <w:tcPr>
            <w:tcW w:w="559" w:type="dxa"/>
            <w:shd w:val="clear" w:color="auto" w:fill="FFFFFF"/>
          </w:tcPr>
          <w:p w:rsidR="00B87B0F" w:rsidRPr="00586196" w:rsidRDefault="00B87B0F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87B0F" w:rsidRPr="00586196" w:rsidRDefault="00B87B0F" w:rsidP="00586196">
            <w:pPr>
              <w:spacing w:after="120"/>
            </w:pPr>
          </w:p>
        </w:tc>
        <w:tc>
          <w:tcPr>
            <w:tcW w:w="589" w:type="dxa"/>
            <w:shd w:val="clear" w:color="auto" w:fill="FFFFFF"/>
          </w:tcPr>
          <w:p w:rsidR="00B87B0F" w:rsidRPr="00586196" w:rsidRDefault="00B87B0F" w:rsidP="00586196">
            <w:pPr>
              <w:spacing w:after="120"/>
            </w:pPr>
          </w:p>
        </w:tc>
      </w:tr>
    </w:tbl>
    <w:p w:rsidR="00DF7541" w:rsidRPr="00586196" w:rsidRDefault="00DF7541" w:rsidP="00586196">
      <w:pPr>
        <w:spacing w:after="120"/>
      </w:pPr>
    </w:p>
    <w:p w:rsidR="009E7609" w:rsidRDefault="009E7609">
      <w:pPr>
        <w:rPr>
          <w:rFonts w:eastAsia="Times New Roman" w:cs="Times New Roman"/>
        </w:rPr>
      </w:pPr>
      <w:r>
        <w:br w:type="page"/>
      </w:r>
    </w:p>
    <w:p w:rsidR="00DF7541" w:rsidRPr="00586196" w:rsidRDefault="00FD4B47" w:rsidP="009E7609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ПРИЛОЖЕНИЕ № 6</w:t>
      </w:r>
    </w:p>
    <w:p w:rsidR="00DF7541" w:rsidRPr="00EA23D3" w:rsidRDefault="00FD4B47" w:rsidP="009E7609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9E7609" w:rsidRPr="00EA23D3" w:rsidRDefault="009E7609" w:rsidP="009E7609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</w:p>
    <w:p w:rsidR="009E7609" w:rsidRPr="009E7609" w:rsidRDefault="00FD4B47" w:rsidP="009E7609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 баланс бензина автомобильного Ев</w:t>
      </w:r>
      <w:r w:rsidR="009E7609">
        <w:rPr>
          <w:rFonts w:ascii="Sylfaen" w:hAnsi="Sylfaen"/>
          <w:sz w:val="24"/>
          <w:szCs w:val="24"/>
        </w:rPr>
        <w:t>разийского экономического союза</w:t>
      </w:r>
    </w:p>
    <w:p w:rsidR="00DF7541" w:rsidRPr="00586196" w:rsidRDefault="00FD4B47" w:rsidP="009E7609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- 20__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годы</w:t>
      </w:r>
    </w:p>
    <w:p w:rsidR="00DF7541" w:rsidRPr="00586196" w:rsidRDefault="00FD4B47" w:rsidP="009E7609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(тыс. тонн)</w:t>
      </w:r>
    </w:p>
    <w:tbl>
      <w:tblPr>
        <w:tblOverlap w:val="never"/>
        <w:tblW w:w="89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1454"/>
        <w:gridCol w:w="1458"/>
        <w:gridCol w:w="555"/>
        <w:gridCol w:w="567"/>
        <w:gridCol w:w="582"/>
      </w:tblGrid>
      <w:tr w:rsidR="00DF7541" w:rsidRPr="00586196" w:rsidTr="005425A3">
        <w:trPr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9E7609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AB2C86" w:rsidRDefault="00FD4B47" w:rsidP="009E760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  <w:r w:rsidR="00AB2C86" w:rsidRPr="002C10A5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12"/>
              <w:t>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9E760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B2C86">
            <w:pPr>
              <w:pStyle w:val="Bodytext20"/>
              <w:shd w:val="clear" w:color="auto" w:fill="auto"/>
              <w:spacing w:after="120" w:line="240" w:lineRule="auto"/>
              <w:ind w:left="4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 Производство</w:t>
            </w:r>
            <w:r w:rsidR="00AB2C86" w:rsidRPr="002C10A5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13"/>
              <w:t>**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9E05E9" w:rsidRPr="004D5FF0" w:rsidRDefault="00E26672" w:rsidP="004D5FF0">
            <w:pPr>
              <w:pStyle w:val="Bodytext20"/>
              <w:shd w:val="clear" w:color="auto" w:fill="auto"/>
              <w:spacing w:line="240" w:lineRule="auto"/>
              <w:ind w:left="1361" w:hanging="28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4D5FF0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4D5FF0" w:rsidRDefault="004D5FF0" w:rsidP="004D5FF0">
            <w:pPr>
              <w:pStyle w:val="Bodytext20"/>
              <w:shd w:val="clear" w:color="auto" w:fill="auto"/>
              <w:spacing w:line="240" w:lineRule="auto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4" w:type="dxa"/>
            <w:shd w:val="clear" w:color="auto" w:fill="FFFFFF"/>
          </w:tcPr>
          <w:p w:rsidR="004D5FF0" w:rsidRPr="00586196" w:rsidRDefault="004D5FF0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4D5FF0" w:rsidRPr="00586196" w:rsidRDefault="004D5FF0" w:rsidP="00586196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4D5FF0" w:rsidRPr="00586196" w:rsidRDefault="004D5FF0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4D5FF0" w:rsidRPr="00586196" w:rsidRDefault="004D5FF0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4D5FF0" w:rsidRPr="00586196" w:rsidRDefault="004D5FF0" w:rsidP="00586196">
            <w:pPr>
              <w:spacing w:after="120"/>
            </w:pPr>
          </w:p>
        </w:tc>
      </w:tr>
      <w:tr w:rsidR="00BB4CE4" w:rsidRPr="00586196" w:rsidTr="005425A3">
        <w:trPr>
          <w:trHeight w:val="585"/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CE4" w:rsidRPr="00586196" w:rsidRDefault="00BB4CE4" w:rsidP="00FC42FC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CE4" w:rsidRPr="00586196" w:rsidRDefault="00BB4CE4" w:rsidP="00527B2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CE4" w:rsidRPr="00586196" w:rsidRDefault="00BB4CE4" w:rsidP="00527B2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CE4" w:rsidRPr="00586196" w:rsidRDefault="00BB4CE4" w:rsidP="00527B2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BB4CE4" w:rsidRPr="00586196" w:rsidTr="005425A3">
        <w:trPr>
          <w:trHeight w:val="480"/>
          <w:jc w:val="center"/>
        </w:trPr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CE4" w:rsidRPr="00586196" w:rsidRDefault="00BB4CE4" w:rsidP="00586196">
            <w:pPr>
              <w:pStyle w:val="Bodytext20"/>
              <w:shd w:val="clear" w:color="auto" w:fill="auto"/>
              <w:spacing w:after="120" w:line="240" w:lineRule="auto"/>
              <w:ind w:left="1360" w:hanging="280"/>
              <w:rPr>
                <w:rStyle w:val="Bodytext212pt"/>
                <w:rFonts w:ascii="Sylfaen" w:hAnsi="Sylfaen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CE4" w:rsidRPr="00586196" w:rsidRDefault="00BB4CE4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CE4" w:rsidRPr="00586196" w:rsidRDefault="00BB4CE4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CE4" w:rsidRPr="00586196" w:rsidRDefault="00527B2D" w:rsidP="00527B2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CE4" w:rsidRPr="00586196" w:rsidRDefault="00527B2D" w:rsidP="00527B2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CE4" w:rsidRPr="00586196" w:rsidRDefault="00527B2D" w:rsidP="00527B2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F458A6" w:rsidRPr="00586196" w:rsidTr="005425A3">
        <w:trPr>
          <w:trHeight w:val="279"/>
          <w:jc w:val="center"/>
        </w:trPr>
        <w:tc>
          <w:tcPr>
            <w:tcW w:w="4309" w:type="dxa"/>
            <w:tcBorders>
              <w:top w:val="single" w:sz="4" w:space="0" w:color="auto"/>
            </w:tcBorders>
            <w:shd w:val="clear" w:color="auto" w:fill="FFFFFF"/>
          </w:tcPr>
          <w:p w:rsidR="00F458A6" w:rsidRPr="004D5FF0" w:rsidRDefault="008B3823" w:rsidP="00D17D68">
            <w:pPr>
              <w:pStyle w:val="Bodytext20"/>
              <w:shd w:val="clear" w:color="auto" w:fill="auto"/>
              <w:spacing w:after="120" w:line="240" w:lineRule="auto"/>
              <w:ind w:left="1361" w:hanging="23"/>
              <w:rPr>
                <w:rStyle w:val="Bodytext212pt"/>
                <w:rFonts w:ascii="Sylfaen" w:hAnsi="Sylfaen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в Республику </w:t>
            </w:r>
            <w:r>
              <w:rPr>
                <w:rStyle w:val="Bodytext212pt"/>
                <w:rFonts w:ascii="Sylfaen" w:hAnsi="Sylfaen"/>
              </w:rPr>
              <w:t>Казахстан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F458A6" w:rsidRPr="00586196" w:rsidRDefault="00F458A6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F458A6" w:rsidRPr="00586196" w:rsidRDefault="00F458A6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</w:tcPr>
          <w:p w:rsidR="00F458A6" w:rsidRPr="00586196" w:rsidRDefault="00F458A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F458A6" w:rsidRPr="00586196" w:rsidRDefault="00F458A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FFFFFF"/>
          </w:tcPr>
          <w:p w:rsidR="00F458A6" w:rsidRPr="00586196" w:rsidRDefault="00F458A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</w:tr>
      <w:tr w:rsidR="004D5FF0" w:rsidRPr="00586196" w:rsidTr="005425A3">
        <w:trPr>
          <w:trHeight w:val="237"/>
          <w:jc w:val="center"/>
        </w:trPr>
        <w:tc>
          <w:tcPr>
            <w:tcW w:w="4309" w:type="dxa"/>
            <w:shd w:val="clear" w:color="auto" w:fill="FFFFFF"/>
          </w:tcPr>
          <w:p w:rsidR="004D5FF0" w:rsidRPr="004D5FF0" w:rsidRDefault="004D5FF0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4" w:type="dxa"/>
            <w:shd w:val="clear" w:color="auto" w:fill="FFFFFF"/>
          </w:tcPr>
          <w:p w:rsidR="004D5FF0" w:rsidRPr="00586196" w:rsidRDefault="004D5FF0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4D5FF0" w:rsidRPr="00586196" w:rsidRDefault="004D5FF0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55" w:type="dxa"/>
            <w:shd w:val="clear" w:color="auto" w:fill="FFFFFF"/>
          </w:tcPr>
          <w:p w:rsidR="004D5FF0" w:rsidRPr="00586196" w:rsidRDefault="004D5FF0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67" w:type="dxa"/>
            <w:shd w:val="clear" w:color="auto" w:fill="FFFFFF"/>
          </w:tcPr>
          <w:p w:rsidR="004D5FF0" w:rsidRPr="00586196" w:rsidRDefault="004D5FF0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82" w:type="dxa"/>
            <w:shd w:val="clear" w:color="auto" w:fill="FFFFFF"/>
          </w:tcPr>
          <w:p w:rsidR="004D5FF0" w:rsidRPr="00586196" w:rsidRDefault="004D5FF0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</w:tr>
      <w:tr w:rsidR="004D5FF0" w:rsidRPr="00586196" w:rsidTr="005425A3">
        <w:trPr>
          <w:trHeight w:val="355"/>
          <w:jc w:val="center"/>
        </w:trPr>
        <w:tc>
          <w:tcPr>
            <w:tcW w:w="4309" w:type="dxa"/>
            <w:shd w:val="clear" w:color="auto" w:fill="FFFFFF"/>
          </w:tcPr>
          <w:p w:rsidR="004D5FF0" w:rsidRPr="00586196" w:rsidRDefault="004D5FF0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4" w:type="dxa"/>
            <w:shd w:val="clear" w:color="auto" w:fill="FFFFFF"/>
          </w:tcPr>
          <w:p w:rsidR="004D5FF0" w:rsidRPr="00586196" w:rsidRDefault="004D5FF0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4D5FF0" w:rsidRPr="00586196" w:rsidRDefault="004D5FF0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55" w:type="dxa"/>
            <w:shd w:val="clear" w:color="auto" w:fill="FFFFFF"/>
          </w:tcPr>
          <w:p w:rsidR="004D5FF0" w:rsidRPr="00586196" w:rsidRDefault="004D5FF0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67" w:type="dxa"/>
            <w:shd w:val="clear" w:color="auto" w:fill="FFFFFF"/>
          </w:tcPr>
          <w:p w:rsidR="004D5FF0" w:rsidRPr="00586196" w:rsidRDefault="004D5FF0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82" w:type="dxa"/>
            <w:shd w:val="clear" w:color="auto" w:fill="FFFFFF"/>
          </w:tcPr>
          <w:p w:rsidR="004D5FF0" w:rsidRPr="00586196" w:rsidRDefault="004D5FF0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</w:tr>
      <w:tr w:rsidR="00AF5576" w:rsidRPr="00586196" w:rsidTr="005425A3">
        <w:trPr>
          <w:trHeight w:val="275"/>
          <w:jc w:val="center"/>
        </w:trPr>
        <w:tc>
          <w:tcPr>
            <w:tcW w:w="4309" w:type="dxa"/>
            <w:shd w:val="clear" w:color="auto" w:fill="FFFFFF"/>
          </w:tcPr>
          <w:p w:rsidR="00AF5576" w:rsidRPr="00AF5576" w:rsidRDefault="00AF5576" w:rsidP="00D17D68">
            <w:pPr>
              <w:pStyle w:val="Bodytext20"/>
              <w:shd w:val="clear" w:color="auto" w:fill="auto"/>
              <w:spacing w:after="120" w:line="240" w:lineRule="auto"/>
              <w:ind w:left="1355" w:hanging="278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54" w:type="dxa"/>
            <w:shd w:val="clear" w:color="auto" w:fill="FFFFFF"/>
          </w:tcPr>
          <w:p w:rsidR="00AF5576" w:rsidRPr="00586196" w:rsidRDefault="00AF5576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AF5576" w:rsidRPr="00586196" w:rsidRDefault="00AF5576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55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67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82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</w:tr>
      <w:tr w:rsidR="00AF5576" w:rsidRPr="00586196" w:rsidTr="005425A3">
        <w:trPr>
          <w:trHeight w:val="251"/>
          <w:jc w:val="center"/>
        </w:trPr>
        <w:tc>
          <w:tcPr>
            <w:tcW w:w="4309" w:type="dxa"/>
            <w:shd w:val="clear" w:color="auto" w:fill="FFFFFF"/>
          </w:tcPr>
          <w:p w:rsidR="00AF5576" w:rsidRPr="00AF5576" w:rsidRDefault="00AF5576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4" w:type="dxa"/>
            <w:shd w:val="clear" w:color="auto" w:fill="FFFFFF"/>
          </w:tcPr>
          <w:p w:rsidR="00AF5576" w:rsidRPr="00586196" w:rsidRDefault="00AF5576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AF5576" w:rsidRPr="00586196" w:rsidRDefault="00AF5576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55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67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82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</w:tr>
      <w:tr w:rsidR="00AF5576" w:rsidRPr="00586196" w:rsidTr="005425A3">
        <w:trPr>
          <w:trHeight w:val="355"/>
          <w:jc w:val="center"/>
        </w:trPr>
        <w:tc>
          <w:tcPr>
            <w:tcW w:w="4309" w:type="dxa"/>
            <w:shd w:val="clear" w:color="auto" w:fill="FFFFFF"/>
          </w:tcPr>
          <w:p w:rsidR="00AF5576" w:rsidRPr="00AF5576" w:rsidRDefault="00AF5576" w:rsidP="00D17D68">
            <w:pPr>
              <w:pStyle w:val="Bodytext20"/>
              <w:shd w:val="clear" w:color="auto" w:fill="auto"/>
              <w:spacing w:after="120" w:line="240" w:lineRule="auto"/>
              <w:ind w:left="1361" w:hanging="23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4" w:type="dxa"/>
            <w:shd w:val="clear" w:color="auto" w:fill="FFFFFF"/>
          </w:tcPr>
          <w:p w:rsidR="00AF5576" w:rsidRPr="00586196" w:rsidRDefault="00AF5576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AF5576" w:rsidRPr="00586196" w:rsidRDefault="00AF5576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55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67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82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</w:tr>
      <w:tr w:rsidR="00AF5576" w:rsidRPr="00586196" w:rsidTr="005425A3">
        <w:trPr>
          <w:trHeight w:val="289"/>
          <w:jc w:val="center"/>
        </w:trPr>
        <w:tc>
          <w:tcPr>
            <w:tcW w:w="4309" w:type="dxa"/>
            <w:shd w:val="clear" w:color="auto" w:fill="FFFFFF"/>
          </w:tcPr>
          <w:p w:rsidR="00AF5576" w:rsidRPr="00AF5576" w:rsidRDefault="00AF5576" w:rsidP="00D17D68">
            <w:pPr>
              <w:pStyle w:val="Bodytext20"/>
              <w:shd w:val="clear" w:color="auto" w:fill="auto"/>
              <w:spacing w:after="120" w:line="240" w:lineRule="auto"/>
              <w:ind w:left="1361" w:hanging="23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4" w:type="dxa"/>
            <w:shd w:val="clear" w:color="auto" w:fill="FFFFFF"/>
          </w:tcPr>
          <w:p w:rsidR="00AF5576" w:rsidRPr="00586196" w:rsidRDefault="00AF5576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AF5576" w:rsidRPr="00586196" w:rsidRDefault="00AF5576" w:rsidP="00D17D68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55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67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82" w:type="dxa"/>
            <w:shd w:val="clear" w:color="auto" w:fill="FFFFFF"/>
          </w:tcPr>
          <w:p w:rsidR="00AF5576" w:rsidRPr="00586196" w:rsidRDefault="00AF5576" w:rsidP="00D17D6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</w:tr>
      <w:tr w:rsidR="00BB4CE4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BB4CE4" w:rsidRPr="00586196" w:rsidRDefault="00BB4CE4" w:rsidP="00D17D68">
            <w:pPr>
              <w:pStyle w:val="Bodytext20"/>
              <w:shd w:val="clear" w:color="auto" w:fill="auto"/>
              <w:spacing w:after="120" w:line="240" w:lineRule="auto"/>
              <w:ind w:left="1361" w:hanging="23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4" w:type="dxa"/>
            <w:shd w:val="clear" w:color="auto" w:fill="FFFFFF"/>
          </w:tcPr>
          <w:p w:rsidR="00BB4CE4" w:rsidRPr="00586196" w:rsidRDefault="00BB4CE4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B4CE4" w:rsidRPr="00586196" w:rsidRDefault="00BB4CE4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BB4CE4" w:rsidRPr="00586196" w:rsidRDefault="00BB4CE4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B4CE4" w:rsidRPr="00586196" w:rsidRDefault="00BB4CE4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BB4CE4" w:rsidRPr="00586196" w:rsidRDefault="00BB4CE4" w:rsidP="00D17D68">
            <w:pPr>
              <w:spacing w:after="120"/>
            </w:pPr>
          </w:p>
        </w:tc>
      </w:tr>
      <w:tr w:rsidR="00AF5576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AF5576" w:rsidRPr="00AF5576" w:rsidRDefault="00AF5576" w:rsidP="00D17D68">
            <w:pPr>
              <w:pStyle w:val="Bodytext20"/>
              <w:shd w:val="clear" w:color="auto" w:fill="auto"/>
              <w:spacing w:after="120" w:line="240" w:lineRule="auto"/>
              <w:ind w:left="1355" w:hanging="278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54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</w:tr>
      <w:tr w:rsidR="00AF5576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AF5576" w:rsidRPr="00AF5576" w:rsidRDefault="00AF5576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4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</w:tr>
      <w:tr w:rsidR="00AF5576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AF5576" w:rsidRPr="00AF5576" w:rsidRDefault="00AF5576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4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</w:tr>
      <w:tr w:rsidR="00AF5576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AF5576" w:rsidRPr="00AF5576" w:rsidRDefault="00AF5576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4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AF5576" w:rsidRPr="00586196" w:rsidRDefault="00AF5576" w:rsidP="00D17D68">
            <w:pPr>
              <w:spacing w:after="120"/>
            </w:pPr>
          </w:p>
        </w:tc>
      </w:tr>
      <w:tr w:rsidR="00DF7541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291FF8" w:rsidRPr="00586196" w:rsidRDefault="00291FF8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FB0125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FB0125" w:rsidRPr="00FB0125" w:rsidRDefault="00FB0125" w:rsidP="00D17D68">
            <w:pPr>
              <w:pStyle w:val="Bodytext20"/>
              <w:shd w:val="clear" w:color="auto" w:fill="auto"/>
              <w:spacing w:after="120" w:line="240" w:lineRule="auto"/>
              <w:ind w:left="1355" w:hanging="278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54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</w:tr>
      <w:tr w:rsidR="00FB0125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FB0125" w:rsidRPr="00FB0125" w:rsidRDefault="00FB0125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в Республику </w:t>
            </w:r>
            <w:r>
              <w:rPr>
                <w:rStyle w:val="Bodytext212pt"/>
                <w:rFonts w:ascii="Sylfaen" w:hAnsi="Sylfaen"/>
              </w:rPr>
              <w:t>Армения</w:t>
            </w:r>
          </w:p>
        </w:tc>
        <w:tc>
          <w:tcPr>
            <w:tcW w:w="1454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</w:tr>
      <w:tr w:rsidR="00FB0125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FB0125" w:rsidRPr="00FB0125" w:rsidRDefault="00FB0125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4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</w:tr>
      <w:tr w:rsidR="00FB0125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FB0125" w:rsidRPr="00FB0125" w:rsidRDefault="00FB0125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4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FB0125" w:rsidRPr="00586196" w:rsidRDefault="00FB0125" w:rsidP="00D17D68">
            <w:pPr>
              <w:spacing w:after="120"/>
            </w:pPr>
          </w:p>
        </w:tc>
      </w:tr>
      <w:tr w:rsidR="00291FF8" w:rsidRPr="00586196" w:rsidTr="005425A3">
        <w:trPr>
          <w:trHeight w:val="353"/>
          <w:jc w:val="center"/>
        </w:trPr>
        <w:tc>
          <w:tcPr>
            <w:tcW w:w="4309" w:type="dxa"/>
            <w:shd w:val="clear" w:color="auto" w:fill="FFFFFF"/>
          </w:tcPr>
          <w:p w:rsidR="00291FF8" w:rsidRDefault="00291FF8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4" w:type="dxa"/>
            <w:shd w:val="clear" w:color="auto" w:fill="FFFFFF"/>
          </w:tcPr>
          <w:p w:rsidR="00291FF8" w:rsidRPr="00586196" w:rsidRDefault="00291FF8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291FF8" w:rsidRPr="00586196" w:rsidRDefault="00291FF8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291FF8" w:rsidRPr="00586196" w:rsidRDefault="00291FF8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91FF8" w:rsidRPr="00586196" w:rsidRDefault="00291FF8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291FF8" w:rsidRPr="00586196" w:rsidRDefault="00291FF8" w:rsidP="00D17D68">
            <w:pPr>
              <w:spacing w:after="120"/>
            </w:pPr>
          </w:p>
        </w:tc>
      </w:tr>
      <w:tr w:rsidR="00A23EB6" w:rsidRPr="00586196" w:rsidTr="005425A3">
        <w:trPr>
          <w:trHeight w:val="353"/>
          <w:jc w:val="center"/>
        </w:trPr>
        <w:tc>
          <w:tcPr>
            <w:tcW w:w="4309" w:type="dxa"/>
            <w:shd w:val="clear" w:color="auto" w:fill="FFFFFF"/>
          </w:tcPr>
          <w:p w:rsidR="00A23EB6" w:rsidRPr="00A23EB6" w:rsidRDefault="00A23EB6" w:rsidP="00D17D68">
            <w:pPr>
              <w:pStyle w:val="Bodytext20"/>
              <w:shd w:val="clear" w:color="auto" w:fill="auto"/>
              <w:spacing w:after="120" w:line="240" w:lineRule="auto"/>
              <w:ind w:left="1355" w:hanging="278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54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</w:tr>
      <w:tr w:rsidR="00A23EB6" w:rsidRPr="00586196" w:rsidTr="005425A3">
        <w:trPr>
          <w:trHeight w:val="353"/>
          <w:jc w:val="center"/>
        </w:trPr>
        <w:tc>
          <w:tcPr>
            <w:tcW w:w="4309" w:type="dxa"/>
            <w:shd w:val="clear" w:color="auto" w:fill="FFFFFF"/>
          </w:tcPr>
          <w:p w:rsidR="00A23EB6" w:rsidRPr="00A23EB6" w:rsidRDefault="00A23EB6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4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</w:tr>
      <w:tr w:rsidR="00A23EB6" w:rsidRPr="00586196" w:rsidTr="005425A3">
        <w:trPr>
          <w:trHeight w:val="353"/>
          <w:jc w:val="center"/>
        </w:trPr>
        <w:tc>
          <w:tcPr>
            <w:tcW w:w="4309" w:type="dxa"/>
            <w:shd w:val="clear" w:color="auto" w:fill="FFFFFF"/>
          </w:tcPr>
          <w:p w:rsidR="00A23EB6" w:rsidRPr="00A23EB6" w:rsidRDefault="00A23EB6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4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A23EB6" w:rsidRPr="00586196" w:rsidRDefault="00A23EB6" w:rsidP="00D17D68">
            <w:pPr>
              <w:spacing w:after="120"/>
            </w:pPr>
          </w:p>
        </w:tc>
      </w:tr>
      <w:tr w:rsidR="00864184" w:rsidRPr="00586196" w:rsidTr="005425A3">
        <w:trPr>
          <w:trHeight w:val="358"/>
          <w:jc w:val="center"/>
        </w:trPr>
        <w:tc>
          <w:tcPr>
            <w:tcW w:w="4309" w:type="dxa"/>
            <w:shd w:val="clear" w:color="auto" w:fill="FFFFFF"/>
          </w:tcPr>
          <w:p w:rsidR="00864184" w:rsidRPr="00864184" w:rsidRDefault="00864184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4" w:type="dxa"/>
            <w:shd w:val="clear" w:color="auto" w:fill="FFFFFF"/>
          </w:tcPr>
          <w:p w:rsidR="00864184" w:rsidRPr="00586196" w:rsidRDefault="00864184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864184" w:rsidRPr="00586196" w:rsidRDefault="00864184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864184" w:rsidRPr="00586196" w:rsidRDefault="00864184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64184" w:rsidRPr="00586196" w:rsidRDefault="00864184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64184" w:rsidRPr="00586196" w:rsidRDefault="00864184" w:rsidP="00D17D68">
            <w:pPr>
              <w:spacing w:after="120"/>
            </w:pPr>
          </w:p>
        </w:tc>
      </w:tr>
      <w:tr w:rsidR="00291FF8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291FF8" w:rsidRDefault="00291FF8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4" w:type="dxa"/>
            <w:shd w:val="clear" w:color="auto" w:fill="FFFFFF"/>
          </w:tcPr>
          <w:p w:rsidR="00291FF8" w:rsidRPr="00586196" w:rsidRDefault="00291FF8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291FF8" w:rsidRPr="00586196" w:rsidRDefault="00291FF8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291FF8" w:rsidRPr="00586196" w:rsidRDefault="00291FF8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91FF8" w:rsidRPr="00586196" w:rsidRDefault="00291FF8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291FF8" w:rsidRPr="00586196" w:rsidRDefault="00291FF8" w:rsidP="00D17D68">
            <w:pPr>
              <w:spacing w:after="120"/>
            </w:pPr>
          </w:p>
        </w:tc>
      </w:tr>
      <w:tr w:rsidR="00864184" w:rsidRPr="00586196" w:rsidTr="005425A3">
        <w:trPr>
          <w:jc w:val="center"/>
        </w:trPr>
        <w:tc>
          <w:tcPr>
            <w:tcW w:w="4309" w:type="dxa"/>
            <w:shd w:val="clear" w:color="auto" w:fill="FFFFFF"/>
          </w:tcPr>
          <w:p w:rsidR="00864184" w:rsidRPr="00EB4E18" w:rsidRDefault="00EB4E18" w:rsidP="00D17D68">
            <w:pPr>
              <w:pStyle w:val="Bodytext20"/>
              <w:shd w:val="clear" w:color="auto" w:fill="auto"/>
              <w:spacing w:after="120" w:line="240" w:lineRule="auto"/>
              <w:ind w:left="1355" w:hanging="278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третьих государств**</w:t>
            </w:r>
          </w:p>
        </w:tc>
        <w:tc>
          <w:tcPr>
            <w:tcW w:w="1454" w:type="dxa"/>
            <w:shd w:val="clear" w:color="auto" w:fill="FFFFFF"/>
          </w:tcPr>
          <w:p w:rsidR="00864184" w:rsidRPr="00586196" w:rsidRDefault="00864184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864184" w:rsidRPr="00586196" w:rsidRDefault="00864184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864184" w:rsidRPr="00586196" w:rsidRDefault="00864184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64184" w:rsidRPr="00586196" w:rsidRDefault="00864184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64184" w:rsidRPr="00586196" w:rsidRDefault="00864184" w:rsidP="00D17D68">
            <w:pPr>
              <w:spacing w:after="120"/>
            </w:pPr>
          </w:p>
        </w:tc>
      </w:tr>
      <w:tr w:rsidR="00F30F4B" w:rsidRPr="00586196" w:rsidTr="005425A3">
        <w:trPr>
          <w:trHeight w:val="285"/>
          <w:jc w:val="center"/>
        </w:trPr>
        <w:tc>
          <w:tcPr>
            <w:tcW w:w="4309" w:type="dxa"/>
            <w:shd w:val="clear" w:color="auto" w:fill="FFFFFF"/>
          </w:tcPr>
          <w:p w:rsidR="00F30F4B" w:rsidRDefault="00F30F4B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4" w:type="dxa"/>
            <w:shd w:val="clear" w:color="auto" w:fill="FFFFFF"/>
          </w:tcPr>
          <w:p w:rsidR="00F30F4B" w:rsidRPr="00586196" w:rsidRDefault="00F30F4B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F30F4B" w:rsidRPr="00586196" w:rsidRDefault="00F30F4B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F30F4B" w:rsidRPr="00586196" w:rsidRDefault="00F30F4B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F30F4B" w:rsidRPr="00586196" w:rsidRDefault="00F30F4B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F30F4B" w:rsidRPr="00586196" w:rsidRDefault="00F30F4B" w:rsidP="00D17D68">
            <w:pPr>
              <w:spacing w:after="120"/>
            </w:pPr>
          </w:p>
        </w:tc>
      </w:tr>
      <w:tr w:rsidR="00EB4E18" w:rsidRPr="00586196" w:rsidTr="005425A3">
        <w:trPr>
          <w:trHeight w:val="330"/>
          <w:jc w:val="center"/>
        </w:trPr>
        <w:tc>
          <w:tcPr>
            <w:tcW w:w="4309" w:type="dxa"/>
            <w:shd w:val="clear" w:color="auto" w:fill="FFFFFF"/>
          </w:tcPr>
          <w:p w:rsidR="00EB4E18" w:rsidRDefault="00EB4E18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</w:t>
            </w:r>
            <w:r>
              <w:rPr>
                <w:rStyle w:val="Bodytext212pt"/>
                <w:rFonts w:ascii="Sylfaen" w:hAnsi="Sylfaen"/>
              </w:rPr>
              <w:t>ику Беларусь</w:t>
            </w:r>
          </w:p>
        </w:tc>
        <w:tc>
          <w:tcPr>
            <w:tcW w:w="1454" w:type="dxa"/>
            <w:shd w:val="clear" w:color="auto" w:fill="FFFFFF"/>
          </w:tcPr>
          <w:p w:rsidR="00EB4E18" w:rsidRPr="00586196" w:rsidRDefault="00EB4E18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EB4E18" w:rsidRPr="00586196" w:rsidRDefault="00EB4E18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EB4E18" w:rsidRPr="00586196" w:rsidRDefault="00EB4E18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B4E18" w:rsidRPr="00586196" w:rsidRDefault="00EB4E18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EB4E18" w:rsidRPr="00586196" w:rsidRDefault="00EB4E18" w:rsidP="00D17D68">
            <w:pPr>
              <w:spacing w:after="120"/>
            </w:pPr>
          </w:p>
        </w:tc>
      </w:tr>
      <w:tr w:rsidR="00EB4E18" w:rsidRPr="00586196" w:rsidTr="005425A3">
        <w:trPr>
          <w:trHeight w:val="345"/>
          <w:jc w:val="center"/>
        </w:trPr>
        <w:tc>
          <w:tcPr>
            <w:tcW w:w="4309" w:type="dxa"/>
            <w:shd w:val="clear" w:color="auto" w:fill="FFFFFF"/>
          </w:tcPr>
          <w:p w:rsidR="00EB4E18" w:rsidRPr="00586196" w:rsidRDefault="00EB4E18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4" w:type="dxa"/>
            <w:shd w:val="clear" w:color="auto" w:fill="FFFFFF"/>
          </w:tcPr>
          <w:p w:rsidR="00EB4E18" w:rsidRPr="00586196" w:rsidRDefault="00EB4E18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EB4E18" w:rsidRPr="00586196" w:rsidRDefault="00EB4E18" w:rsidP="00D17D68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EB4E18" w:rsidRPr="00586196" w:rsidRDefault="00EB4E18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B4E18" w:rsidRPr="00586196" w:rsidRDefault="00EB4E18" w:rsidP="00D17D68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EB4E18" w:rsidRPr="00586196" w:rsidRDefault="00EB4E18" w:rsidP="00D17D68">
            <w:pPr>
              <w:spacing w:after="120"/>
            </w:pPr>
          </w:p>
        </w:tc>
      </w:tr>
    </w:tbl>
    <w:p w:rsidR="005425A3" w:rsidRDefault="005425A3">
      <w:r>
        <w:br w:type="page"/>
      </w:r>
    </w:p>
    <w:tbl>
      <w:tblPr>
        <w:tblOverlap w:val="never"/>
        <w:tblW w:w="89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29"/>
        <w:gridCol w:w="1411"/>
        <w:gridCol w:w="14"/>
        <w:gridCol w:w="1458"/>
        <w:gridCol w:w="555"/>
        <w:gridCol w:w="15"/>
        <w:gridCol w:w="552"/>
        <w:gridCol w:w="15"/>
        <w:gridCol w:w="567"/>
        <w:gridCol w:w="8"/>
      </w:tblGrid>
      <w:tr w:rsidR="00DF7541" w:rsidRPr="00586196" w:rsidTr="001C6E82">
        <w:trPr>
          <w:jc w:val="center"/>
        </w:trPr>
        <w:tc>
          <w:tcPr>
            <w:tcW w:w="4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641957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64195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64195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5425A3">
        <w:trPr>
          <w:jc w:val="center"/>
        </w:trPr>
        <w:tc>
          <w:tcPr>
            <w:tcW w:w="43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5425A3" w:rsidRPr="00586196" w:rsidTr="005425A3">
        <w:trPr>
          <w:gridAfter w:val="1"/>
          <w:wAfter w:w="8" w:type="dxa"/>
          <w:trHeight w:val="360"/>
          <w:jc w:val="center"/>
        </w:trPr>
        <w:tc>
          <w:tcPr>
            <w:tcW w:w="4309" w:type="dxa"/>
            <w:tcBorders>
              <w:top w:val="single" w:sz="4" w:space="0" w:color="auto"/>
            </w:tcBorders>
            <w:shd w:val="clear" w:color="auto" w:fill="FFFFFF"/>
          </w:tcPr>
          <w:p w:rsidR="005425A3" w:rsidRDefault="005425A3" w:rsidP="00B1094E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</w:tr>
      <w:tr w:rsidR="005425A3" w:rsidRPr="00586196" w:rsidTr="00B1094E">
        <w:trPr>
          <w:gridAfter w:val="1"/>
          <w:wAfter w:w="8" w:type="dxa"/>
          <w:trHeight w:val="257"/>
          <w:jc w:val="center"/>
        </w:trPr>
        <w:tc>
          <w:tcPr>
            <w:tcW w:w="4309" w:type="dxa"/>
            <w:shd w:val="clear" w:color="auto" w:fill="FFFFFF"/>
          </w:tcPr>
          <w:p w:rsidR="005425A3" w:rsidRDefault="005425A3" w:rsidP="00B1094E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4" w:type="dxa"/>
            <w:gridSpan w:val="3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</w:tr>
      <w:tr w:rsidR="005425A3" w:rsidRPr="00586196" w:rsidTr="00B1094E">
        <w:trPr>
          <w:gridAfter w:val="1"/>
          <w:wAfter w:w="8" w:type="dxa"/>
          <w:jc w:val="center"/>
        </w:trPr>
        <w:tc>
          <w:tcPr>
            <w:tcW w:w="4309" w:type="dxa"/>
            <w:shd w:val="clear" w:color="auto" w:fill="FFFFFF"/>
          </w:tcPr>
          <w:p w:rsidR="005425A3" w:rsidRDefault="005425A3" w:rsidP="00B1094E">
            <w:pPr>
              <w:pStyle w:val="Bodytext20"/>
              <w:shd w:val="clear" w:color="auto" w:fill="auto"/>
              <w:spacing w:line="240" w:lineRule="auto"/>
              <w:ind w:left="460" w:hanging="30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Расходная часть - распределение Экспорт</w:t>
            </w:r>
          </w:p>
          <w:p w:rsidR="005425A3" w:rsidRDefault="005425A3" w:rsidP="00B1094E">
            <w:pPr>
              <w:pStyle w:val="Bodytext20"/>
              <w:shd w:val="clear" w:color="auto" w:fill="auto"/>
              <w:spacing w:line="240" w:lineRule="auto"/>
              <w:ind w:left="460" w:firstLine="17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>
              <w:rPr>
                <w:rStyle w:val="Bodytext212pt"/>
                <w:rFonts w:ascii="Sylfaen" w:hAnsi="Sylfaen"/>
              </w:rPr>
              <w:t xml:space="preserve"> государства-члены</w:t>
            </w:r>
          </w:p>
          <w:p w:rsidR="005425A3" w:rsidRPr="001C6E82" w:rsidRDefault="005425A3" w:rsidP="00B1094E">
            <w:pPr>
              <w:pStyle w:val="Bodytext20"/>
              <w:shd w:val="clear" w:color="auto" w:fill="auto"/>
              <w:spacing w:line="240" w:lineRule="auto"/>
              <w:ind w:left="1361" w:hanging="447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4" w:type="dxa"/>
            <w:gridSpan w:val="3"/>
            <w:shd w:val="clear" w:color="auto" w:fill="FFFFFF"/>
          </w:tcPr>
          <w:p w:rsidR="005425A3" w:rsidRPr="00586196" w:rsidRDefault="005425A3" w:rsidP="00B1094E"/>
        </w:tc>
        <w:tc>
          <w:tcPr>
            <w:tcW w:w="1458" w:type="dxa"/>
            <w:shd w:val="clear" w:color="auto" w:fill="FFFFFF"/>
          </w:tcPr>
          <w:p w:rsidR="005425A3" w:rsidRPr="00586196" w:rsidRDefault="005425A3" w:rsidP="00B1094E"/>
        </w:tc>
        <w:tc>
          <w:tcPr>
            <w:tcW w:w="555" w:type="dxa"/>
            <w:shd w:val="clear" w:color="auto" w:fill="FFFFFF"/>
          </w:tcPr>
          <w:p w:rsidR="005425A3" w:rsidRPr="00586196" w:rsidRDefault="005425A3" w:rsidP="00B1094E"/>
        </w:tc>
        <w:tc>
          <w:tcPr>
            <w:tcW w:w="567" w:type="dxa"/>
            <w:gridSpan w:val="2"/>
            <w:shd w:val="clear" w:color="auto" w:fill="FFFFFF"/>
          </w:tcPr>
          <w:p w:rsidR="005425A3" w:rsidRPr="00586196" w:rsidRDefault="005425A3" w:rsidP="00B1094E"/>
        </w:tc>
        <w:tc>
          <w:tcPr>
            <w:tcW w:w="582" w:type="dxa"/>
            <w:gridSpan w:val="2"/>
            <w:shd w:val="clear" w:color="auto" w:fill="FFFFFF"/>
          </w:tcPr>
          <w:p w:rsidR="005425A3" w:rsidRPr="00586196" w:rsidRDefault="005425A3" w:rsidP="00B1094E"/>
        </w:tc>
      </w:tr>
      <w:tr w:rsidR="005425A3" w:rsidRPr="00586196" w:rsidTr="00B1094E">
        <w:trPr>
          <w:gridAfter w:val="1"/>
          <w:wAfter w:w="8" w:type="dxa"/>
          <w:jc w:val="center"/>
        </w:trPr>
        <w:tc>
          <w:tcPr>
            <w:tcW w:w="4309" w:type="dxa"/>
            <w:shd w:val="clear" w:color="auto" w:fill="FFFFFF"/>
          </w:tcPr>
          <w:p w:rsidR="005425A3" w:rsidRPr="00BB6AD9" w:rsidRDefault="005425A3" w:rsidP="00B1094E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54" w:type="dxa"/>
            <w:gridSpan w:val="3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</w:tr>
      <w:tr w:rsidR="005425A3" w:rsidRPr="00586196" w:rsidTr="00B1094E">
        <w:trPr>
          <w:gridAfter w:val="1"/>
          <w:wAfter w:w="8" w:type="dxa"/>
          <w:jc w:val="center"/>
        </w:trPr>
        <w:tc>
          <w:tcPr>
            <w:tcW w:w="4309" w:type="dxa"/>
            <w:shd w:val="clear" w:color="auto" w:fill="FFFFFF"/>
          </w:tcPr>
          <w:p w:rsidR="005425A3" w:rsidRPr="00BB6AD9" w:rsidRDefault="005425A3" w:rsidP="00B1094E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54" w:type="dxa"/>
            <w:gridSpan w:val="3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</w:tr>
      <w:tr w:rsidR="005425A3" w:rsidRPr="00586196" w:rsidTr="005425A3">
        <w:trPr>
          <w:gridAfter w:val="1"/>
          <w:wAfter w:w="8" w:type="dxa"/>
          <w:jc w:val="center"/>
        </w:trPr>
        <w:tc>
          <w:tcPr>
            <w:tcW w:w="4309" w:type="dxa"/>
            <w:shd w:val="clear" w:color="auto" w:fill="FFFFFF"/>
          </w:tcPr>
          <w:p w:rsidR="005425A3" w:rsidRPr="00BB6AD9" w:rsidRDefault="005425A3" w:rsidP="00B1094E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54" w:type="dxa"/>
            <w:gridSpan w:val="3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</w:tr>
      <w:tr w:rsidR="005425A3" w:rsidRPr="00586196" w:rsidTr="00B1094E">
        <w:trPr>
          <w:gridAfter w:val="1"/>
          <w:wAfter w:w="8" w:type="dxa"/>
          <w:jc w:val="center"/>
        </w:trPr>
        <w:tc>
          <w:tcPr>
            <w:tcW w:w="4309" w:type="dxa"/>
            <w:shd w:val="clear" w:color="auto" w:fill="FFFFFF"/>
          </w:tcPr>
          <w:p w:rsidR="005425A3" w:rsidRDefault="005425A3" w:rsidP="00B1094E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54" w:type="dxa"/>
            <w:gridSpan w:val="3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55" w:type="dxa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  <w:tc>
          <w:tcPr>
            <w:tcW w:w="582" w:type="dxa"/>
            <w:gridSpan w:val="2"/>
            <w:shd w:val="clear" w:color="auto" w:fill="FFFFFF"/>
          </w:tcPr>
          <w:p w:rsidR="005425A3" w:rsidRPr="00586196" w:rsidRDefault="005425A3" w:rsidP="00B1094E">
            <w:pPr>
              <w:spacing w:after="120"/>
            </w:pPr>
          </w:p>
        </w:tc>
      </w:tr>
      <w:tr w:rsidR="00DF7541" w:rsidRPr="00586196" w:rsidTr="005425A3">
        <w:trPr>
          <w:trHeight w:val="270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DF7541" w:rsidRPr="00586196" w:rsidRDefault="00641957" w:rsidP="00D17D68">
            <w:pPr>
              <w:pStyle w:val="Bodytext20"/>
              <w:spacing w:after="120"/>
              <w:ind w:left="1361" w:hanging="447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1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6B21D6" w:rsidRPr="00586196" w:rsidTr="008B7E9A">
        <w:trPr>
          <w:trHeight w:val="330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6B21D6" w:rsidRDefault="006B21D6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1" w:type="dxa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</w:tr>
      <w:tr w:rsidR="008B7E9A" w:rsidRPr="00586196" w:rsidTr="008B7E9A">
        <w:trPr>
          <w:trHeight w:val="287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8B7E9A" w:rsidRDefault="008B7E9A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1" w:type="dxa"/>
            <w:shd w:val="clear" w:color="auto" w:fill="FFFFFF"/>
          </w:tcPr>
          <w:p w:rsidR="008B7E9A" w:rsidRPr="00586196" w:rsidRDefault="008B7E9A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8B7E9A" w:rsidRPr="00586196" w:rsidRDefault="008B7E9A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B7E9A" w:rsidRPr="00586196" w:rsidRDefault="008B7E9A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B7E9A" w:rsidRPr="00586196" w:rsidRDefault="008B7E9A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8B7E9A" w:rsidRPr="00586196" w:rsidRDefault="008B7E9A" w:rsidP="00D17D68">
            <w:pPr>
              <w:spacing w:after="120"/>
            </w:pPr>
          </w:p>
        </w:tc>
      </w:tr>
      <w:tr w:rsidR="006B21D6" w:rsidRPr="00586196" w:rsidTr="008B7E9A">
        <w:trPr>
          <w:trHeight w:val="279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6B21D6" w:rsidRPr="006B21D6" w:rsidRDefault="006B21D6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1" w:type="dxa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</w:tr>
      <w:tr w:rsidR="006B21D6" w:rsidRPr="00586196" w:rsidTr="00A81287">
        <w:trPr>
          <w:trHeight w:val="360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6B21D6" w:rsidRDefault="006B21D6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1" w:type="dxa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6B21D6" w:rsidRPr="00586196" w:rsidRDefault="006B21D6" w:rsidP="00D17D68">
            <w:pPr>
              <w:spacing w:after="120"/>
            </w:pPr>
          </w:p>
        </w:tc>
      </w:tr>
      <w:tr w:rsidR="00DF7541" w:rsidRPr="00586196" w:rsidTr="00A81287">
        <w:trPr>
          <w:trHeight w:val="285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DF7541" w:rsidRPr="00586196" w:rsidRDefault="00C85692" w:rsidP="00D17D68">
            <w:pPr>
              <w:pStyle w:val="Bodytext20"/>
              <w:spacing w:after="120"/>
              <w:ind w:left="1361" w:hanging="447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1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A81287" w:rsidRPr="00586196" w:rsidTr="00A81287">
        <w:trPr>
          <w:trHeight w:val="330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A81287" w:rsidRDefault="00A81287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1" w:type="dxa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</w:tr>
      <w:tr w:rsidR="00A81287" w:rsidRPr="00586196" w:rsidTr="00A81287">
        <w:trPr>
          <w:trHeight w:val="303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A81287" w:rsidRDefault="00A81287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1" w:type="dxa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</w:tr>
      <w:tr w:rsidR="00A81287" w:rsidRPr="00586196" w:rsidTr="00A81287">
        <w:trPr>
          <w:trHeight w:val="315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A81287" w:rsidRDefault="00A81287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1" w:type="dxa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</w:tr>
      <w:tr w:rsidR="00A81287" w:rsidRPr="00586196" w:rsidTr="00A81287">
        <w:trPr>
          <w:trHeight w:val="302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A81287" w:rsidRDefault="00A81287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1" w:type="dxa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</w:tr>
      <w:tr w:rsidR="00DF7541" w:rsidRPr="00586196" w:rsidTr="00A81287">
        <w:trPr>
          <w:trHeight w:val="330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DF7541" w:rsidRPr="00586196" w:rsidRDefault="00C85692" w:rsidP="00D17D68">
            <w:pPr>
              <w:pStyle w:val="Bodytext20"/>
              <w:spacing w:after="120"/>
              <w:ind w:left="1361" w:hanging="447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1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A81287" w:rsidRPr="00586196" w:rsidTr="00A81287">
        <w:trPr>
          <w:trHeight w:val="379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A81287" w:rsidRDefault="00A81287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1" w:type="dxa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</w:tr>
      <w:tr w:rsidR="00A81287" w:rsidRPr="00586196" w:rsidTr="00A81287">
        <w:trPr>
          <w:trHeight w:val="333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A81287" w:rsidRDefault="00A81287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1" w:type="dxa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</w:tr>
      <w:tr w:rsidR="00A81287" w:rsidRPr="00586196" w:rsidTr="00A81287">
        <w:trPr>
          <w:trHeight w:val="272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A81287" w:rsidRDefault="00A81287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1" w:type="dxa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</w:tr>
      <w:tr w:rsidR="00A81287" w:rsidRPr="00586196" w:rsidTr="00FF7309">
        <w:trPr>
          <w:trHeight w:val="345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A81287" w:rsidRDefault="00A81287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1" w:type="dxa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A81287" w:rsidRPr="00586196" w:rsidRDefault="00A81287" w:rsidP="00D17D68">
            <w:pPr>
              <w:spacing w:after="120"/>
            </w:pPr>
          </w:p>
        </w:tc>
      </w:tr>
      <w:tr w:rsidR="00DF7541" w:rsidRPr="00586196" w:rsidTr="00FF7309">
        <w:trPr>
          <w:trHeight w:val="285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DF7541" w:rsidRPr="00586196" w:rsidRDefault="00586E6E" w:rsidP="00D17D68">
            <w:pPr>
              <w:pStyle w:val="Bodytext20"/>
              <w:spacing w:after="120"/>
              <w:ind w:left="1361" w:hanging="447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1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FF7309" w:rsidRPr="00586196" w:rsidTr="00FF7309">
        <w:trPr>
          <w:trHeight w:val="300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FF7309" w:rsidRDefault="00FF7309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1" w:type="dxa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</w:tr>
      <w:tr w:rsidR="00FF7309" w:rsidRPr="00586196" w:rsidTr="00FF7309">
        <w:trPr>
          <w:trHeight w:val="375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FF7309" w:rsidRDefault="00FF7309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1" w:type="dxa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</w:tr>
      <w:tr w:rsidR="00FF7309" w:rsidRPr="00586196" w:rsidTr="00FF7309">
        <w:trPr>
          <w:trHeight w:val="330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FF7309" w:rsidRDefault="00FF7309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lastRenderedPageBreak/>
              <w:t>из Республики Казахстан</w:t>
            </w:r>
          </w:p>
        </w:tc>
        <w:tc>
          <w:tcPr>
            <w:tcW w:w="1411" w:type="dxa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</w:tr>
      <w:tr w:rsidR="00FF7309" w:rsidRPr="00586196" w:rsidTr="00FF7309">
        <w:trPr>
          <w:trHeight w:val="287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FF7309" w:rsidRDefault="00FF7309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1" w:type="dxa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</w:tr>
      <w:tr w:rsidR="00DF7541" w:rsidRPr="00586196" w:rsidTr="00FF7309">
        <w:trPr>
          <w:trHeight w:val="360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586E6E" w:rsidRPr="00586196" w:rsidRDefault="00586E6E" w:rsidP="00D17D68">
            <w:pPr>
              <w:pStyle w:val="Bodytext20"/>
              <w:spacing w:after="120"/>
              <w:ind w:left="1361" w:hanging="447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третьи государства</w:t>
            </w:r>
          </w:p>
        </w:tc>
        <w:tc>
          <w:tcPr>
            <w:tcW w:w="141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FF7309" w:rsidRPr="00586196" w:rsidTr="00FF7309">
        <w:trPr>
          <w:trHeight w:val="305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FF7309" w:rsidRPr="00586196" w:rsidRDefault="00FF7309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1" w:type="dxa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</w:tr>
      <w:tr w:rsidR="00FF7309" w:rsidRPr="00586196" w:rsidTr="00FF7309">
        <w:trPr>
          <w:trHeight w:val="319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FF7309" w:rsidRPr="00586196" w:rsidRDefault="00FF7309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1" w:type="dxa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</w:tr>
      <w:tr w:rsidR="00FF7309" w:rsidRPr="00586196" w:rsidTr="00FF7309">
        <w:trPr>
          <w:trHeight w:val="318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FF7309" w:rsidRPr="00586196" w:rsidRDefault="00FF7309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1" w:type="dxa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</w:tr>
      <w:tr w:rsidR="00FF7309" w:rsidRPr="00586196" w:rsidTr="00FF7309">
        <w:trPr>
          <w:trHeight w:val="360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FF7309" w:rsidRPr="00586196" w:rsidRDefault="00FF7309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1" w:type="dxa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</w:tr>
      <w:tr w:rsidR="00FF7309" w:rsidRPr="00586196" w:rsidTr="00843F12">
        <w:trPr>
          <w:trHeight w:val="257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FF7309" w:rsidRPr="00586196" w:rsidRDefault="00FF7309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1" w:type="dxa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FF7309" w:rsidRPr="00586196" w:rsidRDefault="00FF7309" w:rsidP="00D17D68">
            <w:pPr>
              <w:spacing w:after="120"/>
            </w:pPr>
          </w:p>
        </w:tc>
      </w:tr>
      <w:tr w:rsidR="00DF7541" w:rsidRPr="00586196" w:rsidTr="00843F12">
        <w:trPr>
          <w:trHeight w:val="285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5750F8" w:rsidRPr="00586196" w:rsidRDefault="005750F8" w:rsidP="00D17D68">
            <w:pPr>
              <w:pStyle w:val="Bodytext20"/>
              <w:spacing w:after="120"/>
              <w:ind w:left="460" w:firstLine="17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1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843F12" w:rsidRPr="00586196" w:rsidTr="00843F12">
        <w:trPr>
          <w:trHeight w:val="285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843F12" w:rsidRPr="00586196" w:rsidRDefault="00843F12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11" w:type="dxa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</w:tr>
      <w:tr w:rsidR="00843F12" w:rsidRPr="00586196" w:rsidTr="00843F12">
        <w:trPr>
          <w:trHeight w:val="302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843F12" w:rsidRPr="00586196" w:rsidRDefault="00843F12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11" w:type="dxa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</w:tr>
      <w:tr w:rsidR="00843F12" w:rsidRPr="00586196" w:rsidTr="00843F12">
        <w:trPr>
          <w:trHeight w:val="315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843F12" w:rsidRPr="00586196" w:rsidRDefault="00843F12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11" w:type="dxa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</w:tr>
      <w:tr w:rsidR="00843F12" w:rsidRPr="00586196" w:rsidTr="00843F12">
        <w:trPr>
          <w:trHeight w:val="203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843F12" w:rsidRPr="00843F12" w:rsidRDefault="00843F12" w:rsidP="00D17D68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Sylfaen" w:hAnsi="Sylfaen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11" w:type="dxa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</w:tr>
      <w:tr w:rsidR="00843F12" w:rsidRPr="00586196" w:rsidTr="00843F12">
        <w:trPr>
          <w:trHeight w:val="285"/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843F12" w:rsidRPr="00586196" w:rsidRDefault="00843F12" w:rsidP="00D17D68">
            <w:pPr>
              <w:pStyle w:val="Bodytext20"/>
              <w:spacing w:after="120"/>
              <w:ind w:left="1361" w:hanging="21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11" w:type="dxa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  <w:tc>
          <w:tcPr>
            <w:tcW w:w="575" w:type="dxa"/>
            <w:gridSpan w:val="2"/>
            <w:shd w:val="clear" w:color="auto" w:fill="FFFFFF"/>
          </w:tcPr>
          <w:p w:rsidR="00843F12" w:rsidRPr="00586196" w:rsidRDefault="00843F12" w:rsidP="00D17D68">
            <w:pPr>
              <w:spacing w:after="120"/>
            </w:pPr>
          </w:p>
        </w:tc>
      </w:tr>
    </w:tbl>
    <w:p w:rsidR="00621B1A" w:rsidRDefault="00621B1A" w:rsidP="00586196">
      <w:pPr>
        <w:spacing w:after="120"/>
      </w:pPr>
    </w:p>
    <w:p w:rsidR="00621B1A" w:rsidRDefault="00621B1A">
      <w:r>
        <w:br w:type="page"/>
      </w:r>
    </w:p>
    <w:p w:rsidR="00DF7541" w:rsidRPr="00586196" w:rsidRDefault="00FD4B47" w:rsidP="006A476E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ПРИЛОЖЕНИЕ № 7</w:t>
      </w:r>
    </w:p>
    <w:p w:rsidR="00DF7541" w:rsidRPr="00EA23D3" w:rsidRDefault="00FD4B47" w:rsidP="006A476E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4012DD" w:rsidRPr="00EA23D3" w:rsidRDefault="004012DD" w:rsidP="006A476E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</w:p>
    <w:p w:rsidR="00DF7541" w:rsidRPr="00586196" w:rsidRDefault="00FD4B47" w:rsidP="00715A80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 баланс топлива дизельного</w:t>
      </w:r>
    </w:p>
    <w:p w:rsidR="00DF7541" w:rsidRPr="00586196" w:rsidRDefault="00FD4B47" w:rsidP="006F65E9">
      <w:pPr>
        <w:pStyle w:val="Bodytext100"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_________</w:t>
      </w:r>
      <w:r w:rsidR="006F65E9">
        <w:rPr>
          <w:rFonts w:ascii="Sylfaen" w:hAnsi="Sylfaen"/>
          <w:sz w:val="24"/>
          <w:szCs w:val="24"/>
          <w:lang w:val="hy-AM"/>
        </w:rPr>
        <w:t>_____</w:t>
      </w:r>
      <w:r w:rsidR="006F65E9" w:rsidRPr="00EA23D3">
        <w:rPr>
          <w:rFonts w:ascii="Sylfaen" w:hAnsi="Sylfaen"/>
          <w:sz w:val="24"/>
          <w:szCs w:val="24"/>
        </w:rPr>
        <w:t>_________</w:t>
      </w:r>
      <w:r w:rsidRPr="00586196">
        <w:rPr>
          <w:rFonts w:ascii="Sylfaen" w:hAnsi="Sylfaen"/>
          <w:sz w:val="24"/>
          <w:szCs w:val="24"/>
        </w:rPr>
        <w:t>____________________________________________________</w:t>
      </w:r>
    </w:p>
    <w:p w:rsidR="00DF7541" w:rsidRPr="006F65E9" w:rsidRDefault="00FD4B47" w:rsidP="006F65E9">
      <w:pPr>
        <w:pStyle w:val="Bodytext90"/>
        <w:shd w:val="clear" w:color="auto" w:fill="auto"/>
        <w:spacing w:after="120" w:line="240" w:lineRule="auto"/>
        <w:ind w:right="318"/>
        <w:jc w:val="center"/>
        <w:rPr>
          <w:rFonts w:ascii="Sylfaen" w:hAnsi="Sylfaen"/>
          <w:sz w:val="20"/>
          <w:szCs w:val="20"/>
        </w:rPr>
      </w:pPr>
      <w:r w:rsidRPr="006F65E9">
        <w:rPr>
          <w:rStyle w:val="Bodytext91"/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DF7541" w:rsidRPr="00586196" w:rsidRDefault="00FD4B47" w:rsidP="006F65E9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-</w:t>
      </w:r>
      <w:r w:rsidRPr="00586196">
        <w:rPr>
          <w:rFonts w:ascii="Sylfaen" w:hAnsi="Sylfaen"/>
          <w:sz w:val="24"/>
          <w:szCs w:val="24"/>
        </w:rPr>
        <w:t xml:space="preserve"> 20__годы</w:t>
      </w:r>
    </w:p>
    <w:p w:rsidR="00DF7541" w:rsidRPr="00586196" w:rsidRDefault="00FD4B47" w:rsidP="006F65E9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(тыс. тонн)</w:t>
      </w:r>
    </w:p>
    <w:tbl>
      <w:tblPr>
        <w:tblOverlap w:val="never"/>
        <w:tblW w:w="8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1"/>
        <w:gridCol w:w="1440"/>
        <w:gridCol w:w="1458"/>
        <w:gridCol w:w="571"/>
        <w:gridCol w:w="567"/>
        <w:gridCol w:w="590"/>
      </w:tblGrid>
      <w:tr w:rsidR="00DF7541" w:rsidRPr="00586196" w:rsidTr="00995684">
        <w:trPr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012DD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012D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4012D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995684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Производство</w:t>
            </w:r>
            <w:r w:rsidR="00995684" w:rsidRPr="005414D6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14"/>
              <w:t>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  <w:p w:rsidR="00DF7541" w:rsidRPr="00586196" w:rsidRDefault="00FD4B47" w:rsidP="00715A80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  <w:r w:rsidR="00A8566C" w:rsidRPr="005414D6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15"/>
              <w:t>**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843F12">
        <w:trPr>
          <w:trHeight w:val="353"/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5414D6">
        <w:trPr>
          <w:trHeight w:val="304"/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третьих государств*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государства-члены**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5414D6" w:rsidRDefault="005414D6">
      <w:r>
        <w:br w:type="page"/>
      </w:r>
    </w:p>
    <w:tbl>
      <w:tblPr>
        <w:tblOverlap w:val="never"/>
        <w:tblW w:w="8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1"/>
        <w:gridCol w:w="1440"/>
        <w:gridCol w:w="1458"/>
        <w:gridCol w:w="571"/>
        <w:gridCol w:w="567"/>
        <w:gridCol w:w="590"/>
      </w:tblGrid>
      <w:tr w:rsidR="00EE409B" w:rsidRPr="00586196" w:rsidTr="006E41F3">
        <w:trPr>
          <w:trHeight w:val="600"/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09B" w:rsidRPr="00586196" w:rsidRDefault="00EE409B" w:rsidP="006E41F3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09B" w:rsidRPr="00586196" w:rsidRDefault="00EE409B" w:rsidP="00A076F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09B" w:rsidRPr="00586196" w:rsidRDefault="00EE409B" w:rsidP="00A076F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9B" w:rsidRPr="00586196" w:rsidRDefault="00EE409B" w:rsidP="005644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EE409B" w:rsidRPr="00586196" w:rsidTr="006E41F3">
        <w:trPr>
          <w:trHeight w:val="465"/>
          <w:jc w:val="center"/>
        </w:trPr>
        <w:tc>
          <w:tcPr>
            <w:tcW w:w="4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09B" w:rsidRPr="00586196" w:rsidRDefault="00EE409B" w:rsidP="0058619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9B" w:rsidRPr="00586196" w:rsidRDefault="00EE409B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9B" w:rsidRPr="00586196" w:rsidRDefault="00EE409B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9B" w:rsidRPr="00586196" w:rsidRDefault="00EE409B" w:rsidP="00EE409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9B" w:rsidRPr="00586196" w:rsidRDefault="00EE409B" w:rsidP="00EE409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9B" w:rsidRPr="00586196" w:rsidRDefault="00EE409B" w:rsidP="00EE409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EE409B" w:rsidRPr="00586196" w:rsidTr="006E41F3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409B" w:rsidRPr="00586196" w:rsidRDefault="00EE409B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EE409B" w:rsidRPr="00586196" w:rsidRDefault="00EE409B" w:rsidP="00D17D68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EE409B" w:rsidRPr="00586196" w:rsidRDefault="00EE409B" w:rsidP="00D17D68">
            <w:pPr>
              <w:spacing w:after="120"/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EE409B" w:rsidRPr="00586196" w:rsidRDefault="00EE409B" w:rsidP="00D17D68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EE409B" w:rsidRPr="00586196" w:rsidRDefault="00EE409B" w:rsidP="00D17D68">
            <w:pPr>
              <w:spacing w:after="120"/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EE409B" w:rsidRPr="00586196" w:rsidRDefault="00EE409B" w:rsidP="00D17D68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третьи государства*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995684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1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6E41F3" w:rsidRDefault="006E41F3">
      <w:pPr>
        <w:rPr>
          <w:rFonts w:eastAsia="Times New Roman" w:cs="Times New Roman"/>
        </w:rPr>
      </w:pPr>
    </w:p>
    <w:p w:rsidR="006E41F3" w:rsidRDefault="006E41F3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DF7541" w:rsidRPr="00586196" w:rsidRDefault="00FD4B47" w:rsidP="00715A80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ПРИЛОЖЕНИЕ № 8</w:t>
      </w:r>
    </w:p>
    <w:p w:rsidR="00DF7541" w:rsidRPr="00EA23D3" w:rsidRDefault="00FD4B47" w:rsidP="00715A80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634AD3" w:rsidRPr="00EA23D3" w:rsidRDefault="00634AD3" w:rsidP="00715A80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</w:p>
    <w:p w:rsidR="00715A80" w:rsidRPr="00715A80" w:rsidRDefault="00FD4B47" w:rsidP="00634AD3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 баланс топлива дизельного Ев</w:t>
      </w:r>
      <w:r w:rsidR="00715A80">
        <w:rPr>
          <w:rFonts w:ascii="Sylfaen" w:hAnsi="Sylfaen"/>
          <w:sz w:val="24"/>
          <w:szCs w:val="24"/>
        </w:rPr>
        <w:t>разийского экономического союза</w:t>
      </w:r>
    </w:p>
    <w:p w:rsidR="00DF7541" w:rsidRPr="00586196" w:rsidRDefault="00FD4B47" w:rsidP="00634AD3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- 20__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годы</w:t>
      </w:r>
    </w:p>
    <w:p w:rsidR="00DF7541" w:rsidRPr="00586196" w:rsidRDefault="00FD4B47" w:rsidP="00634AD3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(тыс. тонн)</w:t>
      </w:r>
    </w:p>
    <w:tbl>
      <w:tblPr>
        <w:tblOverlap w:val="never"/>
        <w:tblW w:w="8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1440"/>
        <w:gridCol w:w="1454"/>
        <w:gridCol w:w="580"/>
        <w:gridCol w:w="567"/>
        <w:gridCol w:w="586"/>
      </w:tblGrid>
      <w:tr w:rsidR="00DF7541" w:rsidRPr="00586196" w:rsidTr="00F667D9">
        <w:trPr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F667D9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0873F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  <w:r w:rsidR="00A076FE" w:rsidRPr="004954CA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16"/>
              <w:t>*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F667D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Ожидаемый </w:t>
            </w:r>
            <w:r w:rsidRPr="00F667D9">
              <w:rPr>
                <w:rStyle w:val="Bodytext212pt"/>
                <w:rFonts w:ascii="Sylfaen" w:hAnsi="Sylfaen"/>
                <w:lang w:val="en-US" w:eastAsia="en-US" w:bidi="en-US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</w:rPr>
              <w:t xml:space="preserve">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A076FE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Производство</w:t>
            </w:r>
            <w:r w:rsidR="00A076FE" w:rsidRPr="004954CA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17"/>
              <w:t>**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D17D68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D17D68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4954CA" w:rsidRDefault="004954CA"/>
    <w:tbl>
      <w:tblPr>
        <w:tblOverlap w:val="never"/>
        <w:tblW w:w="8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1440"/>
        <w:gridCol w:w="1454"/>
        <w:gridCol w:w="580"/>
        <w:gridCol w:w="567"/>
        <w:gridCol w:w="586"/>
      </w:tblGrid>
      <w:tr w:rsidR="000873F4" w:rsidRPr="00586196" w:rsidTr="00C57E51">
        <w:trPr>
          <w:trHeight w:val="510"/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3F4" w:rsidRPr="00586196" w:rsidRDefault="000873F4" w:rsidP="008359E1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3F4" w:rsidRPr="00586196" w:rsidRDefault="000873F4" w:rsidP="004C335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  <w:r w:rsidR="004C3351">
              <w:rPr>
                <w:rStyle w:val="Bodytext212pt"/>
                <w:rFonts w:ascii="Sylfaen" w:hAnsi="Sylfaen"/>
              </w:rPr>
              <w:t>*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3F4" w:rsidRPr="00586196" w:rsidRDefault="000873F4" w:rsidP="000873F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 xml:space="preserve">Ожидаемый </w:t>
            </w:r>
            <w:r w:rsidRPr="000873F4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</w:rPr>
              <w:t xml:space="preserve">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3F4" w:rsidRPr="00586196" w:rsidRDefault="008359E1" w:rsidP="008359E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0873F4" w:rsidRPr="00586196" w:rsidTr="00C57E51">
        <w:trPr>
          <w:trHeight w:val="555"/>
          <w:jc w:val="center"/>
        </w:trPr>
        <w:tc>
          <w:tcPr>
            <w:tcW w:w="4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3F4" w:rsidRPr="00586196" w:rsidRDefault="000873F4" w:rsidP="000873F4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3F4" w:rsidRPr="00586196" w:rsidRDefault="000873F4" w:rsidP="000873F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3F4" w:rsidRPr="00586196" w:rsidRDefault="000873F4" w:rsidP="000873F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3F4" w:rsidRPr="00586196" w:rsidRDefault="008359E1" w:rsidP="008359E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3F4" w:rsidRPr="00586196" w:rsidRDefault="008359E1" w:rsidP="008359E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3F4" w:rsidRPr="00586196" w:rsidRDefault="008359E1" w:rsidP="008359E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C57E51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CE4771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DF7541" w:rsidRPr="00586196" w:rsidRDefault="00CE4771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CE4771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CE4771" w:rsidRPr="00586196" w:rsidRDefault="00CE4771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CE4771" w:rsidRPr="00586196" w:rsidRDefault="00CE477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CE4771" w:rsidRPr="00586196" w:rsidRDefault="00CE477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CE4771" w:rsidRPr="00586196" w:rsidRDefault="00CE477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E4771" w:rsidRPr="00586196" w:rsidRDefault="00CE477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CE4771" w:rsidRPr="00586196" w:rsidRDefault="00CE477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C607B0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C607B0" w:rsidRPr="00586196" w:rsidRDefault="00C554AB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C607B0" w:rsidRPr="00586196" w:rsidRDefault="00C607B0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C607B0" w:rsidRPr="00586196" w:rsidRDefault="00C607B0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C607B0" w:rsidRPr="00586196" w:rsidRDefault="00C607B0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607B0" w:rsidRPr="00586196" w:rsidRDefault="00C607B0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C607B0" w:rsidRPr="00586196" w:rsidRDefault="00C607B0" w:rsidP="00586196">
            <w:pPr>
              <w:spacing w:after="120"/>
            </w:pPr>
          </w:p>
        </w:tc>
      </w:tr>
      <w:tr w:rsidR="00C607B0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C607B0" w:rsidRPr="00586196" w:rsidRDefault="00C554AB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C607B0" w:rsidRPr="00586196" w:rsidRDefault="00C607B0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C607B0" w:rsidRPr="00586196" w:rsidRDefault="00C607B0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C607B0" w:rsidRPr="00586196" w:rsidRDefault="00C607B0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607B0" w:rsidRPr="00586196" w:rsidRDefault="00C607B0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C607B0" w:rsidRPr="00586196" w:rsidRDefault="00C607B0" w:rsidP="00586196">
            <w:pPr>
              <w:spacing w:after="120"/>
            </w:pPr>
          </w:p>
        </w:tc>
      </w:tr>
      <w:tr w:rsidR="00597AF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597AF2" w:rsidRPr="00586196" w:rsidRDefault="00597AF2" w:rsidP="007F46D0">
            <w:pPr>
              <w:pStyle w:val="Bodytext20"/>
              <w:shd w:val="clear" w:color="auto" w:fill="auto"/>
              <w:spacing w:after="120" w:line="240" w:lineRule="auto"/>
              <w:ind w:left="801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</w:tr>
      <w:tr w:rsidR="00597AF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597AF2" w:rsidRPr="00586196" w:rsidRDefault="007F46D0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</w:tr>
      <w:tr w:rsidR="00597AF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597AF2" w:rsidRPr="00586196" w:rsidRDefault="007F46D0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</w:tr>
      <w:tr w:rsidR="00597AF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597AF2" w:rsidRPr="00586196" w:rsidRDefault="007F46D0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</w:tr>
      <w:tr w:rsidR="00597AF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597AF2" w:rsidRPr="00586196" w:rsidRDefault="00270CE5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597AF2" w:rsidRPr="00586196" w:rsidRDefault="00597AF2" w:rsidP="00586196">
            <w:pPr>
              <w:spacing w:after="120"/>
            </w:pPr>
          </w:p>
        </w:tc>
      </w:tr>
      <w:tr w:rsidR="00270CE5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270CE5" w:rsidRPr="00586196" w:rsidRDefault="00270CE5" w:rsidP="00270CE5">
            <w:pPr>
              <w:pStyle w:val="Bodytext20"/>
              <w:shd w:val="clear" w:color="auto" w:fill="auto"/>
              <w:spacing w:after="120" w:line="240" w:lineRule="auto"/>
              <w:ind w:left="801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270CE5" w:rsidRPr="00586196" w:rsidRDefault="00270CE5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70CE5" w:rsidRPr="00586196" w:rsidRDefault="00270CE5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270CE5" w:rsidRPr="00586196" w:rsidRDefault="00270CE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70CE5" w:rsidRPr="00586196" w:rsidRDefault="00270CE5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270CE5" w:rsidRPr="00586196" w:rsidRDefault="00270CE5" w:rsidP="00586196">
            <w:pPr>
              <w:spacing w:after="120"/>
            </w:pPr>
          </w:p>
        </w:tc>
      </w:tr>
      <w:tr w:rsidR="00270CE5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270CE5" w:rsidRPr="00586196" w:rsidRDefault="00270CE5" w:rsidP="00D9345D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270CE5" w:rsidRPr="00586196" w:rsidRDefault="00270CE5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70CE5" w:rsidRPr="00586196" w:rsidRDefault="00270CE5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270CE5" w:rsidRPr="00586196" w:rsidRDefault="00270CE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70CE5" w:rsidRPr="00586196" w:rsidRDefault="00270CE5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270CE5" w:rsidRPr="00586196" w:rsidRDefault="00270CE5" w:rsidP="00586196">
            <w:pPr>
              <w:spacing w:after="120"/>
            </w:pPr>
          </w:p>
        </w:tc>
      </w:tr>
      <w:tr w:rsidR="00D9345D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D9345D" w:rsidRPr="00586196" w:rsidRDefault="00D9345D" w:rsidP="00D9345D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</w:tr>
      <w:tr w:rsidR="00D9345D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D9345D" w:rsidRPr="00586196" w:rsidRDefault="00D9345D" w:rsidP="00D9345D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</w:tr>
      <w:tr w:rsidR="00D9345D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D9345D" w:rsidRPr="00586196" w:rsidRDefault="00D9345D" w:rsidP="00D9345D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</w:tr>
      <w:tr w:rsidR="00D9345D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D9345D" w:rsidRPr="00586196" w:rsidRDefault="00D9345D" w:rsidP="00D9345D">
            <w:pPr>
              <w:pStyle w:val="Bodytext20"/>
              <w:shd w:val="clear" w:color="auto" w:fill="auto"/>
              <w:spacing w:after="120" w:line="240" w:lineRule="auto"/>
              <w:ind w:left="801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третьих государств**</w:t>
            </w:r>
          </w:p>
        </w:tc>
        <w:tc>
          <w:tcPr>
            <w:tcW w:w="1440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D9345D" w:rsidRPr="00586196" w:rsidRDefault="00D9345D" w:rsidP="00586196">
            <w:pPr>
              <w:spacing w:after="120"/>
            </w:pPr>
          </w:p>
        </w:tc>
      </w:tr>
      <w:tr w:rsidR="007C24EE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7C24EE" w:rsidRPr="00586196" w:rsidRDefault="007C24EE" w:rsidP="007C24EE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</w:tr>
    </w:tbl>
    <w:p w:rsidR="004C3351" w:rsidRDefault="004C3351">
      <w:r>
        <w:br w:type="page"/>
      </w:r>
    </w:p>
    <w:tbl>
      <w:tblPr>
        <w:tblOverlap w:val="never"/>
        <w:tblW w:w="8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1440"/>
        <w:gridCol w:w="1454"/>
        <w:gridCol w:w="580"/>
        <w:gridCol w:w="567"/>
        <w:gridCol w:w="586"/>
      </w:tblGrid>
      <w:tr w:rsidR="002C3967" w:rsidRPr="00586196" w:rsidTr="00FA3183">
        <w:trPr>
          <w:trHeight w:val="570"/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967" w:rsidRPr="00586196" w:rsidRDefault="002C3967" w:rsidP="00C57E51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967" w:rsidRPr="00586196" w:rsidRDefault="002C3967" w:rsidP="004C335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  <w:r w:rsidR="004C3351">
              <w:rPr>
                <w:rStyle w:val="Bodytext212pt"/>
                <w:rFonts w:ascii="Sylfaen" w:hAnsi="Sylfaen"/>
              </w:rPr>
              <w:t>*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967" w:rsidRPr="00586196" w:rsidRDefault="002C3967" w:rsidP="00C57E5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 xml:space="preserve">Ожидаемый </w:t>
            </w:r>
            <w:r w:rsidRPr="000873F4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</w:rPr>
              <w:t xml:space="preserve">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67" w:rsidRPr="00586196" w:rsidRDefault="002C3967" w:rsidP="002C396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7E51" w:rsidRPr="00586196" w:rsidTr="00C57E51">
        <w:trPr>
          <w:trHeight w:val="495"/>
          <w:jc w:val="center"/>
        </w:trPr>
        <w:tc>
          <w:tcPr>
            <w:tcW w:w="4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51" w:rsidRPr="00586196" w:rsidRDefault="00C57E51" w:rsidP="00C57E51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51" w:rsidRPr="00586196" w:rsidRDefault="00C57E51" w:rsidP="00C57E5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51" w:rsidRPr="00586196" w:rsidRDefault="00C57E51" w:rsidP="00C57E5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51" w:rsidRPr="00586196" w:rsidRDefault="002C3967" w:rsidP="009E067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51" w:rsidRPr="00586196" w:rsidRDefault="002C3967" w:rsidP="009E067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</w:t>
            </w:r>
            <w:r w:rsidRPr="009E067F">
              <w:rPr>
                <w:rStyle w:val="Bodytext212pt"/>
                <w:rFonts w:ascii="Sylfaen" w:hAnsi="Sylfaen"/>
              </w:rPr>
              <w:t>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51" w:rsidRPr="00586196" w:rsidRDefault="002C3967" w:rsidP="009E067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7E51" w:rsidRPr="00586196" w:rsidTr="00C57E51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</w:tcPr>
          <w:p w:rsidR="00C57E51" w:rsidRPr="00586196" w:rsidRDefault="004C3351" w:rsidP="007C24EE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C57E51" w:rsidRPr="00586196" w:rsidRDefault="00C57E51" w:rsidP="00586196">
            <w:pPr>
              <w:spacing w:after="120"/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C57E51" w:rsidRPr="00586196" w:rsidRDefault="00C57E51" w:rsidP="00586196">
            <w:pPr>
              <w:spacing w:after="120"/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</w:tcPr>
          <w:p w:rsidR="00C57E51" w:rsidRPr="00586196" w:rsidRDefault="00C57E5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C57E51" w:rsidRPr="00586196" w:rsidRDefault="00C57E51" w:rsidP="00586196">
            <w:pPr>
              <w:spacing w:after="120"/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C57E51" w:rsidRPr="00586196" w:rsidRDefault="00C57E51" w:rsidP="00586196">
            <w:pPr>
              <w:spacing w:after="120"/>
            </w:pPr>
          </w:p>
        </w:tc>
      </w:tr>
      <w:tr w:rsidR="007C24EE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7C24EE" w:rsidRPr="00586196" w:rsidRDefault="004C3351" w:rsidP="007C24EE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</w:tr>
      <w:tr w:rsidR="004C3351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4C3351" w:rsidRPr="00586196" w:rsidRDefault="004C3351" w:rsidP="007C24EE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4C3351" w:rsidRPr="00586196" w:rsidRDefault="004C335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4C3351" w:rsidRPr="00586196" w:rsidRDefault="004C3351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4C3351" w:rsidRPr="00586196" w:rsidRDefault="004C335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4C3351" w:rsidRPr="00586196" w:rsidRDefault="004C3351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4C3351" w:rsidRPr="00586196" w:rsidRDefault="004C3351" w:rsidP="00586196">
            <w:pPr>
              <w:spacing w:after="120"/>
            </w:pPr>
          </w:p>
        </w:tc>
      </w:tr>
      <w:tr w:rsidR="007C24EE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7C24EE" w:rsidRPr="00586196" w:rsidRDefault="007C24EE" w:rsidP="007C24EE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</w:tr>
      <w:tr w:rsidR="007C24EE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0873F4" w:rsidRPr="00586196" w:rsidRDefault="000873F4" w:rsidP="00107F5A">
            <w:pPr>
              <w:pStyle w:val="Bodytext20"/>
              <w:shd w:val="clear" w:color="auto" w:fill="auto"/>
              <w:spacing w:line="240" w:lineRule="auto"/>
              <w:ind w:left="442" w:hanging="442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Расходная часть - распределение Экспорт</w:t>
            </w:r>
          </w:p>
          <w:p w:rsidR="007C24EE" w:rsidRPr="00586196" w:rsidRDefault="000873F4" w:rsidP="00107F5A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40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7C24EE" w:rsidRPr="00586196" w:rsidRDefault="007C24EE" w:rsidP="00586196">
            <w:pPr>
              <w:spacing w:after="120"/>
            </w:pPr>
          </w:p>
        </w:tc>
      </w:tr>
      <w:tr w:rsidR="00107F5A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073832" w:rsidRPr="00586196" w:rsidRDefault="00107F5A" w:rsidP="00073832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107F5A" w:rsidRPr="00586196" w:rsidRDefault="00107F5A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107F5A" w:rsidRPr="00586196" w:rsidRDefault="00107F5A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107F5A" w:rsidRPr="00586196" w:rsidRDefault="00107F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107F5A" w:rsidRPr="00586196" w:rsidRDefault="00107F5A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107F5A" w:rsidRPr="00586196" w:rsidRDefault="00107F5A" w:rsidP="00586196">
            <w:pPr>
              <w:spacing w:after="120"/>
            </w:pPr>
          </w:p>
        </w:tc>
      </w:tr>
      <w:tr w:rsidR="0007383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073832" w:rsidRPr="00586196" w:rsidRDefault="00073832" w:rsidP="00073832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</w:tr>
      <w:tr w:rsidR="0007383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073832" w:rsidRPr="00586196" w:rsidRDefault="00073832" w:rsidP="00073832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</w:tr>
      <w:tr w:rsidR="0007383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073832" w:rsidRPr="00586196" w:rsidRDefault="00073832" w:rsidP="00073832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073832" w:rsidRPr="00586196" w:rsidRDefault="00073832" w:rsidP="00586196">
            <w:pPr>
              <w:spacing w:after="120"/>
            </w:pPr>
          </w:p>
        </w:tc>
      </w:tr>
      <w:tr w:rsidR="00AF5D57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AF5D57" w:rsidRPr="00586196" w:rsidRDefault="00AF5D57" w:rsidP="00073832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AF5D57" w:rsidRPr="00586196" w:rsidRDefault="00AF5D57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AF5D57" w:rsidRPr="00586196" w:rsidRDefault="00AF5D57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AF5D57" w:rsidRPr="00586196" w:rsidRDefault="00AF5D57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AF5D57" w:rsidRPr="00586196" w:rsidRDefault="00AF5D57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AF5D57" w:rsidRPr="00586196" w:rsidRDefault="00AF5D57" w:rsidP="00586196">
            <w:pPr>
              <w:spacing w:after="120"/>
            </w:pPr>
          </w:p>
        </w:tc>
      </w:tr>
      <w:tr w:rsidR="00AF5D57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AF5D57" w:rsidRPr="00586196" w:rsidRDefault="006512BA" w:rsidP="006512BA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AF5D57" w:rsidRPr="00586196" w:rsidRDefault="00AF5D57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AF5D57" w:rsidRPr="00586196" w:rsidRDefault="00AF5D57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AF5D57" w:rsidRPr="00586196" w:rsidRDefault="00AF5D57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AF5D57" w:rsidRPr="00586196" w:rsidRDefault="00AF5D57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AF5D57" w:rsidRPr="00586196" w:rsidRDefault="00AF5D57" w:rsidP="00586196">
            <w:pPr>
              <w:spacing w:after="120"/>
            </w:pPr>
          </w:p>
        </w:tc>
      </w:tr>
      <w:tr w:rsidR="006512BA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6512BA" w:rsidRPr="00586196" w:rsidRDefault="006512BA" w:rsidP="006512BA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6512BA" w:rsidRPr="00586196" w:rsidRDefault="006512BA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6512BA" w:rsidRPr="00586196" w:rsidRDefault="006512BA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6512BA" w:rsidRPr="00586196" w:rsidRDefault="006512B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512BA" w:rsidRPr="00586196" w:rsidRDefault="006512BA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6512BA" w:rsidRPr="00586196" w:rsidRDefault="006512BA" w:rsidP="00586196">
            <w:pPr>
              <w:spacing w:after="120"/>
            </w:pPr>
          </w:p>
        </w:tc>
      </w:tr>
      <w:tr w:rsidR="005F22C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5F22C2" w:rsidRPr="00586196" w:rsidRDefault="005F22C2" w:rsidP="006512BA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</w:tr>
      <w:tr w:rsidR="005F22C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5F22C2" w:rsidRPr="00586196" w:rsidRDefault="005F22C2" w:rsidP="006512BA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</w:tr>
      <w:tr w:rsidR="005F22C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5F22C2" w:rsidRPr="00586196" w:rsidRDefault="005F22C2" w:rsidP="006512BA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</w:tr>
      <w:tr w:rsidR="005F22C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5F22C2" w:rsidRPr="00586196" w:rsidRDefault="005F22C2" w:rsidP="005F22C2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</w:tr>
      <w:tr w:rsidR="005F22C2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5F22C2" w:rsidRPr="00586196" w:rsidRDefault="005F22C2" w:rsidP="005F22C2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5F22C2" w:rsidRPr="00586196" w:rsidRDefault="005F22C2" w:rsidP="00586196">
            <w:pPr>
              <w:spacing w:after="120"/>
            </w:pPr>
          </w:p>
        </w:tc>
      </w:tr>
      <w:tr w:rsidR="00182E3D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182E3D" w:rsidRPr="00586196" w:rsidRDefault="00182E3D" w:rsidP="005F22C2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</w:tr>
      <w:tr w:rsidR="00182E3D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182E3D" w:rsidRPr="00586196" w:rsidRDefault="00182E3D" w:rsidP="005F22C2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</w:tr>
      <w:tr w:rsidR="00182E3D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182E3D" w:rsidRPr="00586196" w:rsidRDefault="00182E3D" w:rsidP="005F22C2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182E3D" w:rsidRPr="00586196" w:rsidRDefault="00182E3D" w:rsidP="00586196">
            <w:pPr>
              <w:spacing w:after="120"/>
            </w:pPr>
          </w:p>
        </w:tc>
      </w:tr>
      <w:tr w:rsidR="0028523A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28523A" w:rsidRPr="00586196" w:rsidRDefault="0028523A" w:rsidP="0028523A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</w:tr>
      <w:tr w:rsidR="0028523A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28523A" w:rsidRPr="00586196" w:rsidRDefault="0028523A" w:rsidP="0028523A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</w:tr>
      <w:tr w:rsidR="0028523A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28523A" w:rsidRPr="00586196" w:rsidRDefault="0028523A" w:rsidP="0028523A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</w:tr>
      <w:tr w:rsidR="0028523A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28523A" w:rsidRPr="00586196" w:rsidRDefault="0028523A" w:rsidP="0028523A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</w:tr>
      <w:tr w:rsidR="0028523A" w:rsidRPr="00586196" w:rsidTr="00F667D9">
        <w:trPr>
          <w:jc w:val="center"/>
        </w:trPr>
        <w:tc>
          <w:tcPr>
            <w:tcW w:w="4295" w:type="dxa"/>
            <w:shd w:val="clear" w:color="auto" w:fill="FFFFFF"/>
          </w:tcPr>
          <w:p w:rsidR="0028523A" w:rsidRPr="00586196" w:rsidRDefault="0028523A" w:rsidP="0028523A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80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  <w:tc>
          <w:tcPr>
            <w:tcW w:w="586" w:type="dxa"/>
            <w:shd w:val="clear" w:color="auto" w:fill="FFFFFF"/>
          </w:tcPr>
          <w:p w:rsidR="0028523A" w:rsidRPr="00586196" w:rsidRDefault="0028523A" w:rsidP="00586196">
            <w:pPr>
              <w:spacing w:after="120"/>
            </w:pPr>
          </w:p>
        </w:tc>
      </w:tr>
    </w:tbl>
    <w:p w:rsidR="00DF7541" w:rsidRPr="00586196" w:rsidRDefault="00DF7541" w:rsidP="00586196">
      <w:pPr>
        <w:spacing w:after="120"/>
      </w:pPr>
    </w:p>
    <w:tbl>
      <w:tblPr>
        <w:tblOverlap w:val="never"/>
        <w:tblW w:w="89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1"/>
        <w:gridCol w:w="1406"/>
        <w:gridCol w:w="1472"/>
        <w:gridCol w:w="578"/>
        <w:gridCol w:w="567"/>
        <w:gridCol w:w="587"/>
      </w:tblGrid>
      <w:tr w:rsidR="00DF7541" w:rsidRPr="00586196" w:rsidTr="003F5FB9">
        <w:trPr>
          <w:jc w:val="center"/>
        </w:trPr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2900B0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794232" w:rsidP="004C335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  <w:r w:rsidR="004C3351">
              <w:rPr>
                <w:rStyle w:val="Bodytext212pt"/>
                <w:rFonts w:ascii="Sylfaen" w:hAnsi="Sylfaen"/>
              </w:rPr>
              <w:t>*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7942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3F5FB9">
        <w:trPr>
          <w:jc w:val="center"/>
        </w:trPr>
        <w:tc>
          <w:tcPr>
            <w:tcW w:w="43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794232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4232">
              <w:rPr>
                <w:rStyle w:val="Bodytext212pt"/>
                <w:rFonts w:ascii="Sylfaen" w:hAnsi="Sylfaen"/>
              </w:rPr>
              <w:t>в</w:t>
            </w:r>
            <w:r w:rsidRPr="0079423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794232">
              <w:rPr>
                <w:rStyle w:val="Bodytext212pt"/>
                <w:rFonts w:ascii="Sylfaen" w:hAnsi="Sylfaen"/>
              </w:rPr>
              <w:t>20__</w:t>
            </w:r>
            <w:r w:rsidRPr="0079423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794232">
              <w:rPr>
                <w:sz w:val="24"/>
                <w:szCs w:val="24"/>
              </w:rPr>
              <w:t>году</w:t>
            </w:r>
          </w:p>
        </w:tc>
      </w:tr>
      <w:tr w:rsidR="00DF7541" w:rsidRPr="00586196" w:rsidTr="003F5FB9">
        <w:trPr>
          <w:jc w:val="center"/>
        </w:trPr>
        <w:tc>
          <w:tcPr>
            <w:tcW w:w="4311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F00AB2" w:rsidP="00F00AB2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DF7541" w:rsidRPr="00586196" w:rsidRDefault="00F00AB2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5FB9">
        <w:trPr>
          <w:jc w:val="center"/>
        </w:trPr>
        <w:tc>
          <w:tcPr>
            <w:tcW w:w="4311" w:type="dxa"/>
            <w:shd w:val="clear" w:color="auto" w:fill="FFFFFF"/>
            <w:vAlign w:val="bottom"/>
          </w:tcPr>
          <w:p w:rsidR="00DF7541" w:rsidRPr="00586196" w:rsidRDefault="00F00AB2" w:rsidP="00F00AB2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DF7541" w:rsidRPr="00586196" w:rsidRDefault="00F00AB2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DF7541" w:rsidRPr="00586196" w:rsidRDefault="000051E4" w:rsidP="000051E4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из Кыргызской Р</w:t>
            </w:r>
            <w:r w:rsidR="00F00AB2" w:rsidRPr="00586196">
              <w:rPr>
                <w:rStyle w:val="Bodytext212pt"/>
                <w:rFonts w:ascii="Sylfaen" w:hAnsi="Sylfaen"/>
              </w:rPr>
              <w:t>еспублики</w:t>
            </w:r>
          </w:p>
        </w:tc>
        <w:tc>
          <w:tcPr>
            <w:tcW w:w="14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DF7541" w:rsidRPr="00586196" w:rsidRDefault="003F5FB9" w:rsidP="003F5FB9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третьи государства</w:t>
            </w:r>
            <w:r w:rsidR="00912EA7">
              <w:rPr>
                <w:rStyle w:val="Bodytext212pt"/>
                <w:rFonts w:ascii="Sylfaen" w:hAnsi="Sylfaen"/>
              </w:rPr>
              <w:t>**</w:t>
            </w:r>
          </w:p>
        </w:tc>
        <w:tc>
          <w:tcPr>
            <w:tcW w:w="14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DF7541" w:rsidRPr="00586196" w:rsidRDefault="00912EA7" w:rsidP="00912EA7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DF7541" w:rsidRPr="00586196" w:rsidRDefault="00912EA7" w:rsidP="00912EA7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DF7541" w:rsidRPr="00586196" w:rsidRDefault="00912EA7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06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912EA7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912EA7" w:rsidRPr="00586196" w:rsidRDefault="00912EA7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06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</w:tr>
      <w:tr w:rsidR="00912EA7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912EA7" w:rsidRPr="00586196" w:rsidRDefault="00912EA7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06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</w:tr>
      <w:tr w:rsidR="00912EA7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912EA7" w:rsidRPr="00586196" w:rsidRDefault="00CD6413" w:rsidP="00EC711A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06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</w:tr>
      <w:tr w:rsidR="00912EA7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912EA7" w:rsidRPr="00586196" w:rsidRDefault="002206C5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06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912EA7" w:rsidRPr="00586196" w:rsidRDefault="00912EA7" w:rsidP="00586196">
            <w:pPr>
              <w:spacing w:after="120"/>
            </w:pPr>
          </w:p>
        </w:tc>
      </w:tr>
      <w:tr w:rsidR="002206C5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2206C5" w:rsidRPr="00586196" w:rsidRDefault="002206C5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06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</w:tr>
      <w:tr w:rsidR="002206C5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2206C5" w:rsidRPr="00586196" w:rsidRDefault="002206C5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06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</w:tr>
      <w:tr w:rsidR="002206C5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2206C5" w:rsidRPr="00586196" w:rsidRDefault="002206C5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06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</w:tr>
      <w:tr w:rsidR="002206C5" w:rsidRPr="00586196" w:rsidTr="003F5FB9">
        <w:trPr>
          <w:jc w:val="center"/>
        </w:trPr>
        <w:tc>
          <w:tcPr>
            <w:tcW w:w="4311" w:type="dxa"/>
            <w:shd w:val="clear" w:color="auto" w:fill="FFFFFF"/>
          </w:tcPr>
          <w:p w:rsidR="002206C5" w:rsidRPr="00586196" w:rsidRDefault="002206C5" w:rsidP="00586196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06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1472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78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  <w:tc>
          <w:tcPr>
            <w:tcW w:w="587" w:type="dxa"/>
            <w:shd w:val="clear" w:color="auto" w:fill="FFFFFF"/>
          </w:tcPr>
          <w:p w:rsidR="002206C5" w:rsidRPr="00586196" w:rsidRDefault="002206C5" w:rsidP="00586196">
            <w:pPr>
              <w:spacing w:after="120"/>
            </w:pPr>
          </w:p>
        </w:tc>
      </w:tr>
    </w:tbl>
    <w:p w:rsidR="00DF7541" w:rsidRPr="00586196" w:rsidRDefault="00DF7541" w:rsidP="00586196">
      <w:pPr>
        <w:spacing w:after="120"/>
      </w:pPr>
    </w:p>
    <w:p w:rsidR="00715D3F" w:rsidRDefault="00715D3F">
      <w:pPr>
        <w:rPr>
          <w:rFonts w:eastAsia="Times New Roman" w:cs="Times New Roman"/>
        </w:rPr>
      </w:pPr>
      <w:r>
        <w:br w:type="page"/>
      </w:r>
    </w:p>
    <w:p w:rsidR="00DF7541" w:rsidRPr="00586196" w:rsidRDefault="00FD4B47" w:rsidP="00AB4F33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lastRenderedPageBreak/>
        <w:t>ПРИЛОЖЕНИЕ № 9</w:t>
      </w:r>
    </w:p>
    <w:p w:rsidR="00DF7541" w:rsidRDefault="00FD4B47" w:rsidP="00AB4F33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A76DB1" w:rsidRPr="00586196" w:rsidRDefault="00A76DB1" w:rsidP="00AB4F33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</w:p>
    <w:p w:rsidR="00DF7541" w:rsidRPr="00586196" w:rsidRDefault="00FD4B47" w:rsidP="00A76DB1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 баланс мазута топочного</w:t>
      </w:r>
    </w:p>
    <w:p w:rsidR="00DF7541" w:rsidRPr="00586196" w:rsidRDefault="00FD4B47" w:rsidP="00A76DB1">
      <w:pPr>
        <w:pStyle w:val="Bodytext100"/>
        <w:shd w:val="clear" w:color="auto" w:fill="auto"/>
        <w:spacing w:before="0" w:after="0" w:line="240" w:lineRule="auto"/>
        <w:jc w:val="left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__________________</w:t>
      </w:r>
      <w:r w:rsidR="00A76DB1">
        <w:rPr>
          <w:rFonts w:ascii="Sylfaen" w:hAnsi="Sylfaen"/>
          <w:sz w:val="24"/>
          <w:szCs w:val="24"/>
        </w:rPr>
        <w:t>____</w:t>
      </w:r>
      <w:r w:rsidR="00A76DB1" w:rsidRPr="00A76DB1">
        <w:rPr>
          <w:rFonts w:ascii="Sylfaen" w:hAnsi="Sylfaen"/>
          <w:sz w:val="24"/>
          <w:szCs w:val="24"/>
        </w:rPr>
        <w:t>____________</w:t>
      </w:r>
      <w:r w:rsidRPr="00586196">
        <w:rPr>
          <w:rFonts w:ascii="Sylfaen" w:hAnsi="Sylfaen"/>
          <w:sz w:val="24"/>
          <w:szCs w:val="24"/>
        </w:rPr>
        <w:t>_________________________________________</w:t>
      </w:r>
    </w:p>
    <w:p w:rsidR="00DF7541" w:rsidRPr="00A76DB1" w:rsidRDefault="00FD4B47" w:rsidP="00A76DB1">
      <w:pPr>
        <w:pStyle w:val="Bodytext90"/>
        <w:shd w:val="clear" w:color="auto" w:fill="auto"/>
        <w:spacing w:after="120" w:line="240" w:lineRule="auto"/>
        <w:jc w:val="center"/>
        <w:rPr>
          <w:rFonts w:ascii="Sylfaen" w:hAnsi="Sylfaen"/>
          <w:sz w:val="20"/>
          <w:szCs w:val="20"/>
        </w:rPr>
      </w:pPr>
      <w:r w:rsidRPr="00A76DB1">
        <w:rPr>
          <w:rStyle w:val="Bodytext91"/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DF7541" w:rsidRPr="00586196" w:rsidRDefault="00FD4B47" w:rsidP="00A76DB1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- 20__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годы</w:t>
      </w:r>
    </w:p>
    <w:p w:rsidR="00DF7541" w:rsidRPr="00586196" w:rsidRDefault="00FD4B47" w:rsidP="00A76DB1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(тыс. тонн)</w:t>
      </w:r>
    </w:p>
    <w:tbl>
      <w:tblPr>
        <w:tblOverlap w:val="never"/>
        <w:tblW w:w="89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1444"/>
        <w:gridCol w:w="1454"/>
        <w:gridCol w:w="639"/>
        <w:gridCol w:w="567"/>
        <w:gridCol w:w="567"/>
      </w:tblGrid>
      <w:tr w:rsidR="00DF7541" w:rsidRPr="00586196" w:rsidTr="002900B0">
        <w:trPr>
          <w:jc w:val="center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2900B0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2900B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2900B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</w:tcPr>
          <w:p w:rsidR="00DF7541" w:rsidRPr="00586196" w:rsidRDefault="00FD4B47" w:rsidP="00472C5C">
            <w:pPr>
              <w:pStyle w:val="Bodytext20"/>
              <w:shd w:val="clear" w:color="auto" w:fill="auto"/>
              <w:spacing w:line="240" w:lineRule="auto"/>
              <w:ind w:left="442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Производство</w:t>
            </w:r>
            <w:r w:rsidR="00472C5C" w:rsidRPr="006726B2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18"/>
              <w:t>*</w:t>
            </w:r>
          </w:p>
          <w:p w:rsidR="00472C5C" w:rsidRPr="00EA23D3" w:rsidRDefault="00FD4B47" w:rsidP="00472C5C">
            <w:pPr>
              <w:pStyle w:val="Bodytext20"/>
              <w:shd w:val="clear" w:color="auto" w:fill="auto"/>
              <w:spacing w:line="240" w:lineRule="auto"/>
              <w:ind w:left="442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Прочие </w:t>
            </w:r>
            <w:r w:rsidR="00472C5C">
              <w:rPr>
                <w:rStyle w:val="Bodytext212pt"/>
                <w:rFonts w:ascii="Sylfaen" w:hAnsi="Sylfaen"/>
              </w:rPr>
              <w:t>поступления</w:t>
            </w:r>
          </w:p>
          <w:p w:rsidR="00DF7541" w:rsidRPr="00586196" w:rsidRDefault="00FD4B47" w:rsidP="00472C5C">
            <w:pPr>
              <w:pStyle w:val="Bodytext20"/>
              <w:shd w:val="clear" w:color="auto" w:fill="auto"/>
              <w:spacing w:line="240" w:lineRule="auto"/>
              <w:ind w:left="442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  <w:p w:rsidR="00DF7541" w:rsidRPr="00586196" w:rsidRDefault="00FD4B47" w:rsidP="002C6545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  <w:r w:rsidR="00472C5C" w:rsidRPr="006726B2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19"/>
              <w:t>**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</w:tcPr>
          <w:p w:rsidR="00DF7541" w:rsidRPr="00586196" w:rsidRDefault="00FD4B47" w:rsidP="0050185B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</w:tcPr>
          <w:p w:rsidR="00DF7541" w:rsidRPr="00586196" w:rsidRDefault="00FD4B47" w:rsidP="0050185B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  <w:vAlign w:val="bottom"/>
          </w:tcPr>
          <w:p w:rsidR="00DF7541" w:rsidRPr="00586196" w:rsidRDefault="00FD4B47" w:rsidP="0050185B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  <w:vAlign w:val="bottom"/>
          </w:tcPr>
          <w:p w:rsidR="00DF7541" w:rsidRPr="00586196" w:rsidRDefault="00FD4B47" w:rsidP="0050185B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  <w:vAlign w:val="bottom"/>
          </w:tcPr>
          <w:p w:rsidR="00DF7541" w:rsidRPr="00586196" w:rsidRDefault="00FD4B47" w:rsidP="0050185B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третьих государств*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государства-члены**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FA3183" w:rsidRPr="00586196" w:rsidTr="00FA3183">
        <w:trPr>
          <w:trHeight w:val="525"/>
          <w:jc w:val="center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183" w:rsidRPr="00586196" w:rsidRDefault="00FA3183" w:rsidP="00FA3183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183" w:rsidRPr="00586196" w:rsidRDefault="00FA3183" w:rsidP="00EB61F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183" w:rsidRPr="00586196" w:rsidRDefault="00FA3183" w:rsidP="00EB61F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183" w:rsidRPr="00586196" w:rsidRDefault="00FA3183" w:rsidP="00FA318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EB61FF" w:rsidRPr="00586196" w:rsidTr="00FA3183">
        <w:trPr>
          <w:trHeight w:val="540"/>
          <w:jc w:val="center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1FF" w:rsidRPr="00586196" w:rsidRDefault="00EB61FF" w:rsidP="00EB61FF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1FF" w:rsidRPr="00586196" w:rsidRDefault="00EB61FF" w:rsidP="00EB61F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1FF" w:rsidRPr="00586196" w:rsidRDefault="00EB61FF" w:rsidP="00EB61F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1FF" w:rsidRPr="00586196" w:rsidRDefault="00FA3183" w:rsidP="00FA318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1FF" w:rsidRPr="00586196" w:rsidRDefault="00FA3183" w:rsidP="00FA318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1FF" w:rsidRPr="00586196" w:rsidRDefault="00FA3183" w:rsidP="00FA318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50185B" w:rsidRPr="00586196" w:rsidTr="00FA3183">
        <w:trPr>
          <w:jc w:val="center"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85B" w:rsidRPr="00586196" w:rsidRDefault="00EB61FF" w:rsidP="0058619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50185B" w:rsidRPr="00586196" w:rsidRDefault="0050185B" w:rsidP="00586196">
            <w:pPr>
              <w:spacing w:after="120"/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50185B" w:rsidRPr="00586196" w:rsidRDefault="0050185B" w:rsidP="00586196">
            <w:pPr>
              <w:spacing w:after="120"/>
            </w:pPr>
          </w:p>
        </w:tc>
        <w:tc>
          <w:tcPr>
            <w:tcW w:w="639" w:type="dxa"/>
            <w:tcBorders>
              <w:top w:val="single" w:sz="4" w:space="0" w:color="auto"/>
            </w:tcBorders>
            <w:shd w:val="clear" w:color="auto" w:fill="FFFFFF"/>
          </w:tcPr>
          <w:p w:rsidR="0050185B" w:rsidRPr="00586196" w:rsidRDefault="0050185B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50185B" w:rsidRPr="00586196" w:rsidRDefault="0050185B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50185B" w:rsidRPr="00586196" w:rsidRDefault="0050185B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третьи государства*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2900B0">
        <w:trPr>
          <w:jc w:val="center"/>
        </w:trPr>
        <w:tc>
          <w:tcPr>
            <w:tcW w:w="4320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4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3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2C6545" w:rsidRDefault="002C6545">
      <w:pPr>
        <w:rPr>
          <w:rStyle w:val="Headerorfooter"/>
          <w:rFonts w:ascii="Sylfaen" w:eastAsia="Sylfaen" w:hAnsi="Sylfaen"/>
          <w:sz w:val="24"/>
          <w:szCs w:val="24"/>
        </w:rPr>
      </w:pPr>
      <w:r>
        <w:rPr>
          <w:rStyle w:val="Headerorfooter"/>
          <w:rFonts w:ascii="Sylfaen" w:eastAsia="Sylfaen" w:hAnsi="Sylfaen"/>
          <w:sz w:val="24"/>
          <w:szCs w:val="24"/>
        </w:rPr>
        <w:br w:type="page"/>
      </w:r>
    </w:p>
    <w:p w:rsidR="00DF7541" w:rsidRPr="00586196" w:rsidRDefault="00FD4B47" w:rsidP="00F05903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BA35AF" w:rsidRPr="00586196">
        <w:rPr>
          <w:rFonts w:ascii="Sylfaen" w:hAnsi="Sylfaen"/>
          <w:sz w:val="24"/>
          <w:szCs w:val="24"/>
        </w:rPr>
        <w:fldChar w:fldCharType="begin"/>
      </w:r>
      <w:r w:rsidR="00DF7541" w:rsidRPr="00586196">
        <w:rPr>
          <w:rFonts w:ascii="Sylfaen" w:hAnsi="Sylfaen"/>
          <w:sz w:val="24"/>
          <w:szCs w:val="24"/>
        </w:rPr>
        <w:instrText xml:space="preserve"> PAGE \* MERGEFORMAT </w:instrText>
      </w:r>
      <w:r w:rsidR="00BA35AF" w:rsidRPr="00586196">
        <w:rPr>
          <w:rFonts w:ascii="Sylfaen" w:hAnsi="Sylfaen"/>
          <w:sz w:val="24"/>
          <w:szCs w:val="24"/>
        </w:rPr>
        <w:fldChar w:fldCharType="separate"/>
      </w:r>
      <w:r w:rsidRPr="00586196">
        <w:rPr>
          <w:rStyle w:val="Headerorfooter"/>
          <w:rFonts w:ascii="Sylfaen" w:hAnsi="Sylfaen"/>
          <w:sz w:val="24"/>
          <w:szCs w:val="24"/>
        </w:rPr>
        <w:t>10</w:t>
      </w:r>
      <w:r w:rsidR="00BA35AF" w:rsidRPr="00586196">
        <w:rPr>
          <w:rFonts w:ascii="Sylfaen" w:hAnsi="Sylfaen"/>
          <w:sz w:val="24"/>
          <w:szCs w:val="24"/>
        </w:rPr>
        <w:fldChar w:fldCharType="end"/>
      </w:r>
    </w:p>
    <w:p w:rsidR="00DF7541" w:rsidRDefault="00FD4B47" w:rsidP="00F05903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F05903" w:rsidRPr="00586196" w:rsidRDefault="00F05903" w:rsidP="00F05903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</w:p>
    <w:p w:rsidR="00F05903" w:rsidRDefault="00FD4B47" w:rsidP="00F05903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 баланс мазута топочного Ев</w:t>
      </w:r>
      <w:r w:rsidR="00F05903">
        <w:rPr>
          <w:rFonts w:ascii="Sylfaen" w:hAnsi="Sylfaen"/>
          <w:sz w:val="24"/>
          <w:szCs w:val="24"/>
        </w:rPr>
        <w:t>разийского экономического союза</w:t>
      </w:r>
    </w:p>
    <w:p w:rsidR="00DF7541" w:rsidRPr="00586196" w:rsidRDefault="00FD4B47" w:rsidP="00F05903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-</w:t>
      </w:r>
      <w:r w:rsidRPr="00586196">
        <w:rPr>
          <w:rFonts w:ascii="Sylfaen" w:hAnsi="Sylfaen"/>
          <w:sz w:val="24"/>
          <w:szCs w:val="24"/>
        </w:rPr>
        <w:t xml:space="preserve"> 20__</w:t>
      </w:r>
      <w:r w:rsidRPr="0058619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годы</w:t>
      </w:r>
    </w:p>
    <w:p w:rsidR="00DF7541" w:rsidRPr="00586196" w:rsidRDefault="00FD4B47" w:rsidP="00D847FD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(тыс. тонн)</w:t>
      </w:r>
    </w:p>
    <w:tbl>
      <w:tblPr>
        <w:tblOverlap w:val="never"/>
        <w:tblW w:w="89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1440"/>
        <w:gridCol w:w="1458"/>
        <w:gridCol w:w="510"/>
        <w:gridCol w:w="612"/>
        <w:gridCol w:w="664"/>
      </w:tblGrid>
      <w:tr w:rsidR="00DF7541" w:rsidRPr="00586196" w:rsidTr="00D847FD">
        <w:trPr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D847FD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65305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  <w:r w:rsidR="00653057" w:rsidRPr="000E4BF8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20"/>
              <w:t>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D847F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D847F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="00D847FD">
              <w:rPr>
                <w:rStyle w:val="Bodytext212pt"/>
                <w:rFonts w:ascii="Sylfaen" w:hAnsi="Sylfaen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D847F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D847F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D847F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E7629">
            <w:pPr>
              <w:pStyle w:val="Bodytext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 Производство</w:t>
            </w:r>
            <w:r w:rsidR="00AE7629" w:rsidRPr="000E4BF8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21"/>
              <w:t>**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  <w:p w:rsidR="0040289A" w:rsidRDefault="0040289A" w:rsidP="00586196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государств-членов</w:t>
            </w:r>
          </w:p>
          <w:p w:rsidR="00DF7541" w:rsidRPr="00586196" w:rsidRDefault="00FD4B47" w:rsidP="0040289A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653057" w:rsidRPr="00586196" w:rsidTr="00EA23D3">
        <w:trPr>
          <w:trHeight w:val="525"/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057" w:rsidRPr="00586196" w:rsidRDefault="00653057" w:rsidP="00F15DD2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057" w:rsidRPr="00586196" w:rsidRDefault="00653057" w:rsidP="00F15DD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  <w:r w:rsidR="00F15DD2">
              <w:rPr>
                <w:rStyle w:val="Bodytext212pt"/>
                <w:rFonts w:ascii="Sylfaen" w:hAnsi="Sylfaen"/>
              </w:rPr>
              <w:t>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057" w:rsidRPr="00586196" w:rsidRDefault="00653057" w:rsidP="00F15DD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057" w:rsidRPr="00586196" w:rsidRDefault="00653057" w:rsidP="006D529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653057" w:rsidRPr="00586196" w:rsidTr="006D529F">
        <w:trPr>
          <w:trHeight w:val="765"/>
          <w:jc w:val="center"/>
        </w:trPr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057" w:rsidRPr="00586196" w:rsidRDefault="00653057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Sylfaen" w:hAnsi="Sylfae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057" w:rsidRPr="00586196" w:rsidRDefault="00653057" w:rsidP="00653057">
            <w:pPr>
              <w:pStyle w:val="Bodytext20"/>
              <w:shd w:val="clear" w:color="auto" w:fill="auto"/>
              <w:spacing w:after="120" w:line="240" w:lineRule="auto"/>
              <w:ind w:left="180" w:firstLine="0"/>
              <w:rPr>
                <w:rStyle w:val="Bodytext212pt"/>
                <w:rFonts w:ascii="Sylfaen" w:hAnsi="Sylfaen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057" w:rsidRPr="00586196" w:rsidRDefault="00653057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057" w:rsidRPr="00586196" w:rsidRDefault="00653057" w:rsidP="006D529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057" w:rsidRPr="00586196" w:rsidRDefault="00653057" w:rsidP="006D529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057" w:rsidRPr="00586196" w:rsidRDefault="00653057" w:rsidP="006D529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AE7629" w:rsidRPr="00586196" w:rsidTr="006D529F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  <w:shd w:val="clear" w:color="auto" w:fill="FFFFFF"/>
          </w:tcPr>
          <w:p w:rsidR="00AE7629" w:rsidRPr="00586196" w:rsidRDefault="00AE7629" w:rsidP="00EA23D3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6D529F">
        <w:trPr>
          <w:jc w:val="center"/>
        </w:trPr>
        <w:tc>
          <w:tcPr>
            <w:tcW w:w="4309" w:type="dxa"/>
            <w:shd w:val="clear" w:color="auto" w:fill="FFFFFF"/>
          </w:tcPr>
          <w:p w:rsidR="00AE7629" w:rsidRPr="00586196" w:rsidRDefault="00AE7629" w:rsidP="00EA23D3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6D529F">
        <w:trPr>
          <w:jc w:val="center"/>
        </w:trPr>
        <w:tc>
          <w:tcPr>
            <w:tcW w:w="4309" w:type="dxa"/>
            <w:shd w:val="clear" w:color="auto" w:fill="FFFFFF"/>
          </w:tcPr>
          <w:p w:rsidR="00AE7629" w:rsidRPr="00586196" w:rsidRDefault="00AE7629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AE7629" w:rsidRPr="00586196" w:rsidRDefault="00AE7629" w:rsidP="0040289A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AE7629" w:rsidRPr="00586196" w:rsidRDefault="00AE7629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AE7629" w:rsidRPr="00586196" w:rsidRDefault="00AE7629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AE7629" w:rsidRPr="00586196" w:rsidRDefault="00AE7629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AE7629" w:rsidRPr="00586196" w:rsidRDefault="00AE7629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AE7629" w:rsidRPr="00586196" w:rsidRDefault="00AE7629" w:rsidP="00551620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AE7629" w:rsidRPr="00586196" w:rsidRDefault="00AE7629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D847FD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AE7629" w:rsidRPr="00586196" w:rsidRDefault="00AE7629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AE7629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AE7629" w:rsidRPr="00586196" w:rsidRDefault="00AE7629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AE7629" w:rsidRPr="00586196" w:rsidRDefault="00AE7629" w:rsidP="00586196">
            <w:pPr>
              <w:spacing w:after="120"/>
            </w:pPr>
          </w:p>
        </w:tc>
      </w:tr>
      <w:tr w:rsidR="006F1A63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6F1A63" w:rsidRPr="00586196" w:rsidRDefault="006F1A63" w:rsidP="00586196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6F1A63" w:rsidRPr="00586196" w:rsidRDefault="006F1A63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6F1A63" w:rsidRPr="00586196" w:rsidRDefault="006F1A63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6F1A63" w:rsidRPr="00586196" w:rsidRDefault="006F1A63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6F1A63" w:rsidRPr="00586196" w:rsidRDefault="006F1A63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6F1A63" w:rsidRPr="00586196" w:rsidRDefault="006F1A63" w:rsidP="00586196">
            <w:pPr>
              <w:spacing w:after="120"/>
            </w:pPr>
          </w:p>
        </w:tc>
      </w:tr>
      <w:tr w:rsidR="006F1A63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6F1A63" w:rsidRPr="00586196" w:rsidRDefault="006F1A63" w:rsidP="00551620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6F1A63" w:rsidRPr="00586196" w:rsidRDefault="006F1A63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6F1A63" w:rsidRPr="00586196" w:rsidRDefault="006F1A63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6F1A63" w:rsidRPr="00586196" w:rsidRDefault="006F1A63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6F1A63" w:rsidRPr="00586196" w:rsidRDefault="006F1A63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6F1A63" w:rsidRPr="00586196" w:rsidRDefault="006F1A63" w:rsidP="00586196">
            <w:pPr>
              <w:spacing w:after="120"/>
            </w:pPr>
          </w:p>
        </w:tc>
      </w:tr>
      <w:tr w:rsidR="00551620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551620" w:rsidRPr="00586196" w:rsidRDefault="00551620" w:rsidP="00551620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</w:tr>
      <w:tr w:rsidR="00551620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551620" w:rsidRPr="00586196" w:rsidRDefault="00551620" w:rsidP="00551620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</w:tr>
      <w:tr w:rsidR="00551620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551620" w:rsidRPr="00586196" w:rsidRDefault="00551620" w:rsidP="00551620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</w:tr>
      <w:tr w:rsidR="00551620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551620" w:rsidRPr="00586196" w:rsidRDefault="00551620" w:rsidP="00551620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</w:tr>
      <w:tr w:rsidR="00551620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551620" w:rsidRPr="00586196" w:rsidRDefault="00B201BF" w:rsidP="00B201BF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551620" w:rsidRPr="00586196" w:rsidRDefault="00551620" w:rsidP="00586196">
            <w:pPr>
              <w:spacing w:after="120"/>
            </w:pPr>
          </w:p>
        </w:tc>
      </w:tr>
      <w:tr w:rsidR="00B201BF" w:rsidRPr="00586196" w:rsidTr="00EA23D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B201BF" w:rsidRPr="00586196" w:rsidRDefault="00B201BF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</w:tr>
      <w:tr w:rsidR="00B201BF" w:rsidRPr="00586196" w:rsidTr="00EA23D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B201BF" w:rsidRPr="00586196" w:rsidRDefault="00B201BF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</w:tr>
      <w:tr w:rsidR="00B201BF" w:rsidRPr="00586196" w:rsidTr="00EA23D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B201BF" w:rsidRPr="00586196" w:rsidRDefault="00B201BF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</w:tr>
      <w:tr w:rsidR="00B201BF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B201BF" w:rsidRPr="00586196" w:rsidRDefault="00B201BF" w:rsidP="00B201B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B201BF" w:rsidRPr="00586196" w:rsidRDefault="00B201BF" w:rsidP="00586196">
            <w:pPr>
              <w:spacing w:after="120"/>
            </w:pPr>
          </w:p>
        </w:tc>
      </w:tr>
      <w:tr w:rsidR="008B15A5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8B15A5" w:rsidRPr="00586196" w:rsidRDefault="008B15A5" w:rsidP="008B15A5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третьих государств**</w:t>
            </w:r>
          </w:p>
        </w:tc>
        <w:tc>
          <w:tcPr>
            <w:tcW w:w="1440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</w:tr>
      <w:tr w:rsidR="008B15A5" w:rsidRPr="00586196" w:rsidTr="00EA23D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8B15A5" w:rsidRPr="00586196" w:rsidRDefault="008B15A5" w:rsidP="008B15A5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</w:tr>
      <w:tr w:rsidR="008B15A5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8B15A5" w:rsidRPr="00586196" w:rsidRDefault="008B15A5" w:rsidP="008B15A5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</w:tr>
      <w:tr w:rsidR="008B15A5" w:rsidRPr="00586196" w:rsidTr="00D847FD">
        <w:trPr>
          <w:jc w:val="center"/>
        </w:trPr>
        <w:tc>
          <w:tcPr>
            <w:tcW w:w="4309" w:type="dxa"/>
            <w:shd w:val="clear" w:color="auto" w:fill="FFFFFF"/>
          </w:tcPr>
          <w:p w:rsidR="008B15A5" w:rsidRPr="00586196" w:rsidRDefault="008B15A5" w:rsidP="008B15A5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10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612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664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</w:tr>
    </w:tbl>
    <w:p w:rsidR="00DF7541" w:rsidRPr="00586196" w:rsidRDefault="00DF7541" w:rsidP="00586196">
      <w:pPr>
        <w:spacing w:after="120"/>
      </w:pPr>
    </w:p>
    <w:tbl>
      <w:tblPr>
        <w:tblOverlap w:val="never"/>
        <w:tblW w:w="8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1426"/>
        <w:gridCol w:w="1469"/>
        <w:gridCol w:w="573"/>
        <w:gridCol w:w="567"/>
        <w:gridCol w:w="582"/>
      </w:tblGrid>
      <w:tr w:rsidR="00DF7541" w:rsidRPr="00586196" w:rsidTr="008B15A5">
        <w:trPr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8B15A5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8B15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="008B15A5">
              <w:rPr>
                <w:rStyle w:val="Bodytext212pt"/>
                <w:rFonts w:ascii="Sylfaen" w:hAnsi="Sylfaen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="008B15A5">
              <w:rPr>
                <w:rStyle w:val="Bodytext212pt"/>
                <w:rFonts w:ascii="Sylfaen" w:hAnsi="Sylfaen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8B15A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8B15A5">
        <w:trPr>
          <w:jc w:val="center"/>
        </w:trPr>
        <w:tc>
          <w:tcPr>
            <w:tcW w:w="4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8B15A5" w:rsidRPr="00586196" w:rsidTr="008B15A5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15A5" w:rsidRPr="00586196" w:rsidRDefault="008B15A5" w:rsidP="008B15A5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</w:tr>
      <w:tr w:rsidR="008B15A5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8B15A5" w:rsidRPr="00586196" w:rsidRDefault="008B15A5" w:rsidP="008B15A5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</w:tr>
      <w:tr w:rsidR="008B15A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34D55" w:rsidRPr="00586196" w:rsidRDefault="00C34D55" w:rsidP="00C34D55">
            <w:pPr>
              <w:pStyle w:val="Bodytext20"/>
              <w:shd w:val="clear" w:color="auto" w:fill="auto"/>
              <w:spacing w:after="120" w:line="240" w:lineRule="auto"/>
              <w:ind w:left="440" w:hanging="44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Расходная часть - распределение Экспорт</w:t>
            </w:r>
          </w:p>
          <w:p w:rsidR="008B15A5" w:rsidRPr="00586196" w:rsidRDefault="00C34D55" w:rsidP="00C34D55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26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</w:tr>
      <w:tr w:rsidR="008B15A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8B15A5" w:rsidRPr="00586196" w:rsidRDefault="00C34D55" w:rsidP="00C34D55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26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B15A5" w:rsidRPr="00586196" w:rsidRDefault="008B15A5" w:rsidP="00586196">
            <w:pPr>
              <w:spacing w:after="120"/>
            </w:pPr>
          </w:p>
        </w:tc>
      </w:tr>
      <w:tr w:rsidR="00C34D5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EA23D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EA23D3">
        <w:trPr>
          <w:jc w:val="center"/>
        </w:trPr>
        <w:tc>
          <w:tcPr>
            <w:tcW w:w="4309" w:type="dxa"/>
            <w:shd w:val="clear" w:color="auto" w:fill="FFFFFF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EA23D3">
        <w:trPr>
          <w:jc w:val="center"/>
        </w:trPr>
        <w:tc>
          <w:tcPr>
            <w:tcW w:w="4309" w:type="dxa"/>
            <w:shd w:val="clear" w:color="auto" w:fill="FFFFFF"/>
          </w:tcPr>
          <w:p w:rsidR="00C34D55" w:rsidRPr="00586196" w:rsidRDefault="00C34D55" w:rsidP="00C34D55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EA23D3">
        <w:trPr>
          <w:jc w:val="center"/>
        </w:trPr>
        <w:tc>
          <w:tcPr>
            <w:tcW w:w="4309" w:type="dxa"/>
            <w:shd w:val="clear" w:color="auto" w:fill="FFFFFF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C34D55" w:rsidRPr="00586196" w:rsidRDefault="00C34D55" w:rsidP="00C34D55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EA23D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1340" w:hanging="30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EA23D3">
        <w:trPr>
          <w:jc w:val="center"/>
        </w:trPr>
        <w:tc>
          <w:tcPr>
            <w:tcW w:w="4309" w:type="dxa"/>
            <w:shd w:val="clear" w:color="auto" w:fill="FFFFFF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EA23D3">
        <w:trPr>
          <w:jc w:val="center"/>
        </w:trPr>
        <w:tc>
          <w:tcPr>
            <w:tcW w:w="4309" w:type="dxa"/>
            <w:shd w:val="clear" w:color="auto" w:fill="FFFFFF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C34D5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34D55" w:rsidRPr="00586196" w:rsidRDefault="00C34D5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C34D55" w:rsidRPr="00586196" w:rsidRDefault="00C34D55" w:rsidP="00586196">
            <w:pPr>
              <w:spacing w:after="120"/>
            </w:pPr>
          </w:p>
        </w:tc>
      </w:tr>
      <w:tr w:rsidR="00E475A5" w:rsidRPr="00586196" w:rsidTr="00EA23D3">
        <w:trPr>
          <w:jc w:val="center"/>
        </w:trPr>
        <w:tc>
          <w:tcPr>
            <w:tcW w:w="4309" w:type="dxa"/>
            <w:shd w:val="clear" w:color="auto" w:fill="FFFFFF"/>
          </w:tcPr>
          <w:p w:rsidR="00E475A5" w:rsidRPr="00586196" w:rsidRDefault="00E475A5" w:rsidP="00EA23D3">
            <w:pPr>
              <w:pStyle w:val="Bodytext20"/>
              <w:shd w:val="clear" w:color="auto" w:fill="auto"/>
              <w:spacing w:after="120" w:line="240" w:lineRule="auto"/>
              <w:ind w:left="1340" w:hanging="30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26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</w:tr>
      <w:tr w:rsidR="00E475A5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E475A5" w:rsidRPr="00586196" w:rsidRDefault="00E475A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</w:tr>
      <w:tr w:rsidR="00E475A5" w:rsidRPr="00586196" w:rsidTr="00EA23D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E475A5" w:rsidRPr="00586196" w:rsidRDefault="00E475A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</w:tr>
      <w:tr w:rsidR="00E475A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E475A5" w:rsidRPr="00586196" w:rsidRDefault="00E475A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26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</w:tr>
      <w:tr w:rsidR="00E475A5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E475A5" w:rsidRPr="00586196" w:rsidRDefault="00E475A5" w:rsidP="00E475A5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</w:tr>
      <w:tr w:rsidR="00E475A5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E475A5" w:rsidRPr="00586196" w:rsidRDefault="00E475A5" w:rsidP="00E475A5">
            <w:pPr>
              <w:pStyle w:val="Bodytext20"/>
              <w:shd w:val="clear" w:color="auto" w:fill="auto"/>
              <w:spacing w:after="120" w:line="240" w:lineRule="auto"/>
              <w:ind w:left="1340" w:hanging="30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</w:tr>
      <w:tr w:rsidR="00E475A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E475A5" w:rsidRPr="00586196" w:rsidRDefault="00E475A5" w:rsidP="00586196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</w:tr>
      <w:tr w:rsidR="00E475A5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E475A5" w:rsidRPr="00586196" w:rsidRDefault="00E475A5" w:rsidP="00586196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E475A5" w:rsidRPr="00586196" w:rsidRDefault="00E475A5" w:rsidP="00586196">
            <w:pPr>
              <w:spacing w:after="120"/>
            </w:pPr>
          </w:p>
        </w:tc>
      </w:tr>
      <w:tr w:rsidR="000254EB" w:rsidRPr="00586196" w:rsidTr="000254EB">
        <w:trPr>
          <w:trHeight w:val="630"/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EB" w:rsidRPr="00586196" w:rsidRDefault="000254EB" w:rsidP="000254EB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EB" w:rsidRPr="00586196" w:rsidRDefault="000254EB" w:rsidP="000254E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EB" w:rsidRPr="00586196" w:rsidRDefault="000254EB" w:rsidP="000254E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4EB" w:rsidRPr="00586196" w:rsidRDefault="000254EB" w:rsidP="000254E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0254EB" w:rsidRPr="00586196" w:rsidTr="000254EB">
        <w:trPr>
          <w:trHeight w:val="435"/>
          <w:jc w:val="center"/>
        </w:trPr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EB" w:rsidRPr="00586196" w:rsidRDefault="000254EB" w:rsidP="00586196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Sylfaen" w:hAnsi="Sylfaen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4EB" w:rsidRPr="00586196" w:rsidRDefault="000254EB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4EB" w:rsidRPr="00586196" w:rsidRDefault="000254EB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4EB" w:rsidRPr="00586196" w:rsidRDefault="000254EB" w:rsidP="000254E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4EB" w:rsidRPr="00586196" w:rsidRDefault="000254EB" w:rsidP="000254E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4EB" w:rsidRPr="00586196" w:rsidRDefault="000254EB" w:rsidP="000254E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0254EB" w:rsidRPr="00586196" w:rsidTr="000254EB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254EB" w:rsidRPr="00586196" w:rsidRDefault="000254EB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</w:tr>
      <w:tr w:rsidR="000254EB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0254EB" w:rsidRPr="00586196" w:rsidRDefault="000254EB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</w:tr>
      <w:tr w:rsidR="000254EB" w:rsidRPr="00586196" w:rsidTr="008B15A5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0254EB" w:rsidRPr="00586196" w:rsidRDefault="000254EB" w:rsidP="000254EB">
            <w:pPr>
              <w:pStyle w:val="Bodytext20"/>
              <w:shd w:val="clear" w:color="auto" w:fill="auto"/>
              <w:spacing w:after="120" w:line="240" w:lineRule="auto"/>
              <w:ind w:left="1340" w:hanging="30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третьи государства**</w:t>
            </w:r>
          </w:p>
        </w:tc>
        <w:tc>
          <w:tcPr>
            <w:tcW w:w="1426" w:type="dxa"/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0254EB" w:rsidRPr="00586196" w:rsidRDefault="000254EB" w:rsidP="00586196">
            <w:pPr>
              <w:spacing w:after="120"/>
            </w:pPr>
          </w:p>
        </w:tc>
      </w:tr>
      <w:tr w:rsidR="0081285A" w:rsidRPr="00586196" w:rsidTr="00EA23D3">
        <w:trPr>
          <w:jc w:val="center"/>
        </w:trPr>
        <w:tc>
          <w:tcPr>
            <w:tcW w:w="4309" w:type="dxa"/>
            <w:shd w:val="clear" w:color="auto" w:fill="FFFFFF"/>
          </w:tcPr>
          <w:p w:rsidR="0081285A" w:rsidRPr="00586196" w:rsidRDefault="0081285A" w:rsidP="0081285A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  <w:tr w:rsidR="0081285A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81285A" w:rsidRPr="00586196" w:rsidRDefault="0081285A" w:rsidP="0081285A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  <w:tr w:rsidR="0081285A" w:rsidRPr="00586196" w:rsidTr="00EA23D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81285A" w:rsidRPr="00586196" w:rsidRDefault="0081285A" w:rsidP="0081285A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  <w:tr w:rsidR="0081285A" w:rsidRPr="00586196" w:rsidTr="00EA23D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81285A" w:rsidRPr="00586196" w:rsidRDefault="0081285A" w:rsidP="0081285A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  <w:tr w:rsidR="0081285A" w:rsidRPr="00586196" w:rsidTr="00EA23D3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81285A" w:rsidRPr="00586196" w:rsidRDefault="0081285A" w:rsidP="0081285A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  <w:tr w:rsidR="0081285A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81285A" w:rsidRPr="00586196" w:rsidRDefault="0081285A" w:rsidP="0081285A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  <w:tr w:rsidR="0081285A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81285A" w:rsidRPr="00586196" w:rsidRDefault="0081285A" w:rsidP="00586196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  <w:tr w:rsidR="0081285A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81285A" w:rsidRPr="00586196" w:rsidRDefault="0081285A" w:rsidP="00586196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  <w:tr w:rsidR="0081285A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81285A" w:rsidRPr="00586196" w:rsidRDefault="00420680" w:rsidP="00586196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  <w:tr w:rsidR="0081285A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81285A" w:rsidRPr="00586196" w:rsidRDefault="00420680" w:rsidP="00586196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  <w:tr w:rsidR="0081285A" w:rsidRPr="00586196" w:rsidTr="008B15A5">
        <w:trPr>
          <w:jc w:val="center"/>
        </w:trPr>
        <w:tc>
          <w:tcPr>
            <w:tcW w:w="4309" w:type="dxa"/>
            <w:shd w:val="clear" w:color="auto" w:fill="FFFFFF"/>
          </w:tcPr>
          <w:p w:rsidR="0081285A" w:rsidRPr="00586196" w:rsidRDefault="00420680" w:rsidP="00586196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73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  <w:tc>
          <w:tcPr>
            <w:tcW w:w="582" w:type="dxa"/>
            <w:shd w:val="clear" w:color="auto" w:fill="FFFFFF"/>
          </w:tcPr>
          <w:p w:rsidR="0081285A" w:rsidRPr="00586196" w:rsidRDefault="0081285A" w:rsidP="00586196">
            <w:pPr>
              <w:spacing w:after="120"/>
            </w:pPr>
          </w:p>
        </w:tc>
      </w:tr>
    </w:tbl>
    <w:p w:rsidR="00DF7541" w:rsidRPr="00586196" w:rsidRDefault="00DF7541" w:rsidP="00586196">
      <w:pPr>
        <w:spacing w:after="120"/>
      </w:pPr>
    </w:p>
    <w:p w:rsidR="00D847FD" w:rsidRDefault="00D847FD">
      <w:pPr>
        <w:rPr>
          <w:rStyle w:val="Headerorfooter"/>
          <w:rFonts w:ascii="Sylfaen" w:eastAsia="Sylfaen" w:hAnsi="Sylfaen"/>
          <w:sz w:val="24"/>
          <w:szCs w:val="24"/>
        </w:rPr>
      </w:pPr>
      <w:r>
        <w:rPr>
          <w:rStyle w:val="Headerorfooter"/>
          <w:rFonts w:ascii="Sylfaen" w:eastAsia="Sylfaen" w:hAnsi="Sylfaen"/>
          <w:sz w:val="24"/>
          <w:szCs w:val="24"/>
        </w:rPr>
        <w:br w:type="page"/>
      </w:r>
    </w:p>
    <w:p w:rsidR="00DF7541" w:rsidRPr="00586196" w:rsidRDefault="00FD4B47" w:rsidP="00580AF2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BA35AF" w:rsidRPr="00586196">
        <w:rPr>
          <w:rFonts w:ascii="Sylfaen" w:hAnsi="Sylfaen"/>
          <w:sz w:val="24"/>
          <w:szCs w:val="24"/>
        </w:rPr>
        <w:fldChar w:fldCharType="begin"/>
      </w:r>
      <w:r w:rsidR="00DF7541" w:rsidRPr="00586196">
        <w:rPr>
          <w:rFonts w:ascii="Sylfaen" w:hAnsi="Sylfaen"/>
          <w:sz w:val="24"/>
          <w:szCs w:val="24"/>
        </w:rPr>
        <w:instrText xml:space="preserve"> PAGE \* MERGEFORMAT </w:instrText>
      </w:r>
      <w:r w:rsidR="00BA35AF" w:rsidRPr="00586196">
        <w:rPr>
          <w:rFonts w:ascii="Sylfaen" w:hAnsi="Sylfaen"/>
          <w:sz w:val="24"/>
          <w:szCs w:val="24"/>
        </w:rPr>
        <w:fldChar w:fldCharType="separate"/>
      </w:r>
      <w:r w:rsidRPr="00586196">
        <w:rPr>
          <w:rStyle w:val="Headerorfooter"/>
          <w:rFonts w:ascii="Sylfaen" w:hAnsi="Sylfaen"/>
          <w:sz w:val="24"/>
          <w:szCs w:val="24"/>
        </w:rPr>
        <w:t>11</w:t>
      </w:r>
      <w:r w:rsidR="00BA35AF" w:rsidRPr="00586196">
        <w:rPr>
          <w:rFonts w:ascii="Sylfaen" w:hAnsi="Sylfaen"/>
          <w:sz w:val="24"/>
          <w:szCs w:val="24"/>
        </w:rPr>
        <w:fldChar w:fldCharType="end"/>
      </w:r>
    </w:p>
    <w:p w:rsidR="00DF7541" w:rsidRDefault="00FD4B47" w:rsidP="00580AF2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580AF2" w:rsidRPr="00586196" w:rsidRDefault="00580AF2" w:rsidP="00580AF2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</w:p>
    <w:p w:rsidR="00DF7541" w:rsidRPr="00586196" w:rsidRDefault="00FD4B47" w:rsidP="00580AF2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баланс топлива для реактивных двигателей</w:t>
      </w:r>
    </w:p>
    <w:p w:rsidR="00DF7541" w:rsidRPr="00586196" w:rsidRDefault="00FD4B47" w:rsidP="00AF6E70">
      <w:pPr>
        <w:pStyle w:val="Bodytext100"/>
        <w:shd w:val="clear" w:color="auto" w:fill="auto"/>
        <w:spacing w:before="0" w:after="0" w:line="240" w:lineRule="auto"/>
        <w:ind w:right="278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_________________________________________________</w:t>
      </w:r>
      <w:r w:rsidR="00AF6E70" w:rsidRPr="00EA23D3">
        <w:rPr>
          <w:rFonts w:ascii="Sylfaen" w:hAnsi="Sylfaen"/>
          <w:sz w:val="24"/>
          <w:szCs w:val="24"/>
        </w:rPr>
        <w:t>____</w:t>
      </w:r>
      <w:r w:rsidRPr="00586196">
        <w:rPr>
          <w:rFonts w:ascii="Sylfaen" w:hAnsi="Sylfaen"/>
          <w:sz w:val="24"/>
          <w:szCs w:val="24"/>
        </w:rPr>
        <w:t>____________________</w:t>
      </w:r>
    </w:p>
    <w:p w:rsidR="00DF7541" w:rsidRPr="00AF6E70" w:rsidRDefault="00FD4B47" w:rsidP="00586196">
      <w:pPr>
        <w:pStyle w:val="Bodytext90"/>
        <w:shd w:val="clear" w:color="auto" w:fill="auto"/>
        <w:spacing w:after="120" w:line="240" w:lineRule="auto"/>
        <w:ind w:right="280"/>
        <w:jc w:val="center"/>
        <w:rPr>
          <w:rFonts w:ascii="Sylfaen" w:hAnsi="Sylfaen"/>
          <w:sz w:val="20"/>
          <w:szCs w:val="20"/>
        </w:rPr>
      </w:pPr>
      <w:r w:rsidRPr="00AF6E70">
        <w:rPr>
          <w:rStyle w:val="Bodytext91"/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DF7541" w:rsidRPr="00586196" w:rsidRDefault="00FD4B47" w:rsidP="00AF6E70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-</w:t>
      </w:r>
      <w:r w:rsidRPr="00586196">
        <w:rPr>
          <w:rFonts w:ascii="Sylfaen" w:hAnsi="Sylfaen"/>
          <w:sz w:val="24"/>
          <w:szCs w:val="24"/>
        </w:rPr>
        <w:t xml:space="preserve">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годы</w:t>
      </w:r>
    </w:p>
    <w:p w:rsidR="00DF7541" w:rsidRPr="00586196" w:rsidRDefault="00FD4B47" w:rsidP="00AF6E70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(тыс. тонн)</w:t>
      </w:r>
    </w:p>
    <w:tbl>
      <w:tblPr>
        <w:tblOverlap w:val="never"/>
        <w:tblW w:w="8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1440"/>
        <w:gridCol w:w="1469"/>
        <w:gridCol w:w="558"/>
        <w:gridCol w:w="567"/>
        <w:gridCol w:w="567"/>
      </w:tblGrid>
      <w:tr w:rsidR="00DF7541" w:rsidRPr="00586196" w:rsidTr="00AF6E70">
        <w:trPr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AF6E70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AF6E7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AF6E7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541" w:rsidRPr="00586196" w:rsidRDefault="00FD4B47" w:rsidP="00AF6E7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="00AF6E70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F6E7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F6E7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F6E7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hanging="30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3A79BA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Производство</w:t>
            </w:r>
            <w:r w:rsidR="003A79BA" w:rsidRPr="000E4BF8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22"/>
              <w:t>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3A79BA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  <w:r w:rsidR="003A79BA" w:rsidRPr="000E4BF8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23"/>
              <w:t>**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третьих государств*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3A79BA">
            <w:pPr>
              <w:pStyle w:val="Bodytext20"/>
              <w:shd w:val="clear" w:color="auto" w:fill="auto"/>
              <w:spacing w:line="240" w:lineRule="auto"/>
              <w:ind w:left="443" w:hanging="301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Расходная часть - распределение Экспорт</w:t>
            </w:r>
          </w:p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государства-члены**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60505" w:rsidRPr="00586196" w:rsidTr="00D60505">
        <w:trPr>
          <w:trHeight w:val="495"/>
          <w:jc w:val="center"/>
        </w:trPr>
        <w:tc>
          <w:tcPr>
            <w:tcW w:w="4309" w:type="dxa"/>
            <w:vMerge w:val="restart"/>
            <w:shd w:val="clear" w:color="auto" w:fill="FFFFFF"/>
          </w:tcPr>
          <w:p w:rsidR="00D60505" w:rsidRPr="00586196" w:rsidRDefault="00D60505" w:rsidP="00D60505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D60505" w:rsidRPr="00586196" w:rsidRDefault="00D60505" w:rsidP="00D605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D60505" w:rsidRPr="00586196" w:rsidRDefault="00D60505" w:rsidP="00D605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 xml:space="preserve">Ожидаемый </w:t>
            </w:r>
            <w:r w:rsidRPr="00D60505">
              <w:rPr>
                <w:rStyle w:val="Bodytext212pt"/>
                <w:rFonts w:ascii="Sylfaen" w:hAnsi="Sylfaen"/>
                <w:lang w:val="en-US" w:eastAsia="en-US" w:bidi="en-US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</w:rPr>
              <w:t xml:space="preserve">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69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60505" w:rsidRPr="00586196" w:rsidRDefault="00D60505" w:rsidP="00D605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60505" w:rsidRPr="00586196" w:rsidTr="00D60505">
        <w:trPr>
          <w:trHeight w:val="570"/>
          <w:jc w:val="center"/>
        </w:trPr>
        <w:tc>
          <w:tcPr>
            <w:tcW w:w="4309" w:type="dxa"/>
            <w:vMerge/>
            <w:shd w:val="clear" w:color="auto" w:fill="FFFFFF"/>
            <w:vAlign w:val="bottom"/>
          </w:tcPr>
          <w:p w:rsidR="00D60505" w:rsidRPr="00586196" w:rsidRDefault="00D60505" w:rsidP="00D60505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D60505" w:rsidRPr="00586196" w:rsidRDefault="00D60505" w:rsidP="00D605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D60505" w:rsidRPr="00586196" w:rsidRDefault="00D60505" w:rsidP="00D605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:rsidR="00D60505" w:rsidRPr="00586196" w:rsidRDefault="00D60505" w:rsidP="00D605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60505" w:rsidRPr="00586196" w:rsidRDefault="00D60505" w:rsidP="00D605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60505" w:rsidRPr="00586196" w:rsidRDefault="00D60505" w:rsidP="00D605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3A79BA" w:rsidRPr="00586196" w:rsidTr="00AF6E70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3A79BA" w:rsidRPr="00586196" w:rsidRDefault="003A79BA" w:rsidP="0058619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3A79BA" w:rsidRPr="00586196" w:rsidRDefault="003A79BA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3A79BA" w:rsidRPr="00586196" w:rsidRDefault="003A79BA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3A79BA" w:rsidRPr="00586196" w:rsidRDefault="003A79B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3A79BA" w:rsidRPr="00586196" w:rsidRDefault="003A79BA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3A79BA" w:rsidRPr="00586196" w:rsidRDefault="003A79BA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третьи государства*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AF6E70">
        <w:trPr>
          <w:jc w:val="center"/>
        </w:trPr>
        <w:tc>
          <w:tcPr>
            <w:tcW w:w="4309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</w:tbl>
    <w:p w:rsidR="00AF6E70" w:rsidRDefault="00AF6E70">
      <w:pPr>
        <w:rPr>
          <w:rStyle w:val="Headerorfooter"/>
          <w:rFonts w:ascii="Sylfaen" w:eastAsia="Sylfaen" w:hAnsi="Sylfaen"/>
          <w:sz w:val="24"/>
          <w:szCs w:val="24"/>
        </w:rPr>
      </w:pPr>
      <w:r>
        <w:rPr>
          <w:rStyle w:val="Headerorfooter"/>
          <w:rFonts w:ascii="Sylfaen" w:eastAsia="Sylfaen" w:hAnsi="Sylfaen"/>
          <w:sz w:val="24"/>
          <w:szCs w:val="24"/>
        </w:rPr>
        <w:br w:type="page"/>
      </w:r>
    </w:p>
    <w:p w:rsidR="00DF7541" w:rsidRPr="00586196" w:rsidRDefault="00FD4B47" w:rsidP="00FC57A7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BA35AF" w:rsidRPr="00586196">
        <w:rPr>
          <w:rFonts w:ascii="Sylfaen" w:hAnsi="Sylfaen"/>
          <w:sz w:val="24"/>
          <w:szCs w:val="24"/>
        </w:rPr>
        <w:fldChar w:fldCharType="begin"/>
      </w:r>
      <w:r w:rsidR="00DF7541" w:rsidRPr="00586196">
        <w:rPr>
          <w:rFonts w:ascii="Sylfaen" w:hAnsi="Sylfaen"/>
          <w:sz w:val="24"/>
          <w:szCs w:val="24"/>
        </w:rPr>
        <w:instrText xml:space="preserve"> PAGE \* MERGEFORMAT </w:instrText>
      </w:r>
      <w:r w:rsidR="00BA35AF" w:rsidRPr="00586196">
        <w:rPr>
          <w:rFonts w:ascii="Sylfaen" w:hAnsi="Sylfaen"/>
          <w:sz w:val="24"/>
          <w:szCs w:val="24"/>
        </w:rPr>
        <w:fldChar w:fldCharType="separate"/>
      </w:r>
      <w:r w:rsidRPr="00586196">
        <w:rPr>
          <w:rStyle w:val="Headerorfooter"/>
          <w:rFonts w:ascii="Sylfaen" w:hAnsi="Sylfaen"/>
          <w:sz w:val="24"/>
          <w:szCs w:val="24"/>
        </w:rPr>
        <w:t>12</w:t>
      </w:r>
      <w:r w:rsidR="00BA35AF" w:rsidRPr="00586196">
        <w:rPr>
          <w:rFonts w:ascii="Sylfaen" w:hAnsi="Sylfaen"/>
          <w:sz w:val="24"/>
          <w:szCs w:val="24"/>
        </w:rPr>
        <w:fldChar w:fldCharType="end"/>
      </w:r>
    </w:p>
    <w:p w:rsidR="00DF7541" w:rsidRPr="00EA23D3" w:rsidRDefault="00FD4B47" w:rsidP="00FC57A7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к Методологии формирования индикативных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(прогнозных) балансов газа, нефти и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нефтепродуктов в рамках Евразийского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экономического союза</w:t>
      </w:r>
    </w:p>
    <w:p w:rsidR="00FC57A7" w:rsidRPr="00EA23D3" w:rsidRDefault="00FC57A7" w:rsidP="00FC57A7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</w:p>
    <w:p w:rsidR="00DF7541" w:rsidRPr="00586196" w:rsidRDefault="00FD4B47" w:rsidP="00FC57A7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Индикативный (прогнозный) баланс топлива</w:t>
      </w:r>
      <w:r w:rsidR="00586196" w:rsidRPr="00586196">
        <w:rPr>
          <w:rFonts w:ascii="Sylfaen" w:hAnsi="Sylfaen"/>
          <w:sz w:val="24"/>
          <w:szCs w:val="24"/>
        </w:rPr>
        <w:t xml:space="preserve"> </w:t>
      </w:r>
      <w:r w:rsidRPr="00586196">
        <w:rPr>
          <w:rFonts w:ascii="Sylfaen" w:hAnsi="Sylfaen"/>
          <w:sz w:val="24"/>
          <w:szCs w:val="24"/>
        </w:rPr>
        <w:t>для реактивных двигателей Евразийского экономического союза</w:t>
      </w:r>
    </w:p>
    <w:p w:rsidR="00DF7541" w:rsidRPr="00586196" w:rsidRDefault="00FD4B47" w:rsidP="00FC57A7">
      <w:pPr>
        <w:pStyle w:val="Bodytext100"/>
        <w:shd w:val="clear" w:color="auto" w:fill="auto"/>
        <w:spacing w:before="0" w:after="120" w:line="240" w:lineRule="auto"/>
        <w:ind w:left="1560" w:right="1409"/>
        <w:rPr>
          <w:rFonts w:ascii="Sylfaen" w:hAnsi="Sylfaen"/>
          <w:sz w:val="24"/>
          <w:szCs w:val="24"/>
        </w:rPr>
      </w:pPr>
      <w:r w:rsidRPr="00586196">
        <w:rPr>
          <w:rFonts w:ascii="Sylfaen" w:hAnsi="Sylfaen"/>
          <w:sz w:val="24"/>
          <w:szCs w:val="24"/>
        </w:rPr>
        <w:t>на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- 20__</w:t>
      </w:r>
      <w:r w:rsidRPr="00586196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586196">
        <w:rPr>
          <w:rFonts w:ascii="Sylfaen" w:hAnsi="Sylfaen"/>
          <w:sz w:val="24"/>
          <w:szCs w:val="24"/>
        </w:rPr>
        <w:t>годы</w:t>
      </w:r>
    </w:p>
    <w:p w:rsidR="00DF7541" w:rsidRPr="00586196" w:rsidRDefault="00FD4B47" w:rsidP="00B44331">
      <w:pPr>
        <w:pStyle w:val="Bodytext7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</w:rPr>
      </w:pPr>
      <w:r w:rsidRPr="00586196">
        <w:rPr>
          <w:rFonts w:ascii="Sylfaen" w:hAnsi="Sylfaen"/>
        </w:rPr>
        <w:t>(тыс. тонн)</w:t>
      </w:r>
    </w:p>
    <w:tbl>
      <w:tblPr>
        <w:tblOverlap w:val="never"/>
        <w:tblW w:w="89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1"/>
        <w:gridCol w:w="1440"/>
        <w:gridCol w:w="1458"/>
        <w:gridCol w:w="564"/>
        <w:gridCol w:w="567"/>
        <w:gridCol w:w="594"/>
      </w:tblGrid>
      <w:tr w:rsidR="00DF7541" w:rsidRPr="00586196" w:rsidTr="00B4680D">
        <w:trPr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AF2B59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AF2B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</w:t>
            </w:r>
            <w:r w:rsidR="00AF2B59" w:rsidRPr="000E4BF8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24"/>
              <w:t>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541" w:rsidRPr="00586196" w:rsidRDefault="00FD4B47" w:rsidP="00AF2B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 xml:space="preserve">Ожидаемый </w:t>
            </w:r>
            <w:r w:rsidRPr="00AF2B59">
              <w:rPr>
                <w:rStyle w:val="Bodytext212pt"/>
                <w:rFonts w:ascii="Sylfaen" w:hAnsi="Sylfaen"/>
                <w:lang w:val="en-US" w:eastAsia="en-US" w:bidi="en-US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</w:rPr>
              <w:t xml:space="preserve">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F2B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F2B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AF2B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AF2B59" w:rsidRDefault="00FD4B47" w:rsidP="00AF2B59">
            <w:pPr>
              <w:pStyle w:val="Bodytext20"/>
              <w:shd w:val="clear" w:color="auto" w:fill="auto"/>
              <w:spacing w:after="120" w:line="240" w:lineRule="auto"/>
              <w:ind w:left="420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586196">
              <w:rPr>
                <w:rStyle w:val="Bodytext212pt"/>
                <w:rFonts w:ascii="Sylfaen" w:hAnsi="Sylfaen"/>
              </w:rPr>
              <w:t>Производство</w:t>
            </w:r>
            <w:r w:rsidR="00AF2B59" w:rsidRPr="000E4BF8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customMarkFollows="1" w:id="25"/>
              <w:t>**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4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Импорт</w:t>
            </w:r>
          </w:p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государств-членов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AF2B59" w:rsidRPr="00586196" w:rsidTr="00B4680D">
        <w:trPr>
          <w:trHeight w:val="555"/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59" w:rsidRPr="00586196" w:rsidRDefault="00AF2B59" w:rsidP="00AF2B59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59" w:rsidRPr="00586196" w:rsidRDefault="00AF2B59" w:rsidP="00AF2B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59" w:rsidRPr="00586196" w:rsidRDefault="00AF2B59" w:rsidP="00AF2B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 xml:space="preserve">Ожидаемый </w:t>
            </w:r>
            <w:r w:rsidRPr="00AF2B59">
              <w:rPr>
                <w:rStyle w:val="Bodytext212pt"/>
                <w:rFonts w:ascii="Sylfaen" w:hAnsi="Sylfaen"/>
                <w:lang w:val="en-US" w:eastAsia="en-US" w:bidi="en-US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</w:rPr>
              <w:t xml:space="preserve">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59" w:rsidRPr="00586196" w:rsidRDefault="00AF2B59" w:rsidP="00AF2B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AF2B59" w:rsidRPr="00586196" w:rsidTr="00196E5B">
        <w:trPr>
          <w:trHeight w:val="510"/>
          <w:jc w:val="center"/>
        </w:trPr>
        <w:tc>
          <w:tcPr>
            <w:tcW w:w="4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59" w:rsidRPr="00586196" w:rsidRDefault="00AF2B59" w:rsidP="00586196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Style w:val="Bodytext212pt"/>
                <w:rFonts w:ascii="Sylfaen" w:hAnsi="Sylfae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59" w:rsidRPr="00586196" w:rsidRDefault="00AF2B5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59" w:rsidRPr="00586196" w:rsidRDefault="00AF2B5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59" w:rsidRPr="00586196" w:rsidRDefault="00AF2B59" w:rsidP="00B4680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59" w:rsidRPr="00586196" w:rsidRDefault="00AF2B59" w:rsidP="00B4680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59" w:rsidRPr="00586196" w:rsidRDefault="00AF2B59" w:rsidP="00B4680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AF2B59" w:rsidRPr="00586196" w:rsidTr="00196E5B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</w:tcPr>
          <w:p w:rsidR="00AF2B59" w:rsidRPr="00586196" w:rsidRDefault="00196E5B" w:rsidP="00196E5B">
            <w:pPr>
              <w:pStyle w:val="Bodytext20"/>
              <w:shd w:val="clear" w:color="auto" w:fill="auto"/>
              <w:spacing w:after="120" w:line="240" w:lineRule="auto"/>
              <w:ind w:left="341" w:firstLine="0"/>
              <w:jc w:val="center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AF2B59" w:rsidRPr="00586196" w:rsidRDefault="00AF2B59" w:rsidP="00586196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AF2B59" w:rsidRPr="00586196" w:rsidRDefault="00AF2B59" w:rsidP="00586196">
            <w:pPr>
              <w:spacing w:after="120"/>
            </w:pP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FFFFF"/>
          </w:tcPr>
          <w:p w:rsidR="00AF2B59" w:rsidRPr="00586196" w:rsidRDefault="00AF2B59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AF2B59" w:rsidRPr="00586196" w:rsidRDefault="00AF2B59" w:rsidP="00586196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</w:tcPr>
          <w:p w:rsidR="00AF2B59" w:rsidRPr="00586196" w:rsidRDefault="00AF2B59" w:rsidP="00586196">
            <w:pPr>
              <w:spacing w:after="120"/>
            </w:pPr>
          </w:p>
        </w:tc>
      </w:tr>
      <w:tr w:rsidR="00196E5B" w:rsidRPr="00586196" w:rsidTr="00196E5B">
        <w:trPr>
          <w:jc w:val="center"/>
        </w:trPr>
        <w:tc>
          <w:tcPr>
            <w:tcW w:w="4291" w:type="dxa"/>
            <w:shd w:val="clear" w:color="auto" w:fill="FFFFFF"/>
          </w:tcPr>
          <w:p w:rsidR="00196E5B" w:rsidRPr="00586196" w:rsidRDefault="00196E5B" w:rsidP="001C6AE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196E5B" w:rsidRPr="00586196" w:rsidRDefault="00196E5B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196E5B" w:rsidRPr="00586196" w:rsidRDefault="00196E5B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196E5B" w:rsidRPr="00586196" w:rsidRDefault="00196E5B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196E5B" w:rsidRPr="00586196" w:rsidRDefault="00196E5B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196E5B" w:rsidRPr="00586196" w:rsidRDefault="00196E5B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1C6AE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1C6AE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A7A33">
            <w:pPr>
              <w:pStyle w:val="Bodytext20"/>
              <w:shd w:val="clear" w:color="auto" w:fill="auto"/>
              <w:spacing w:after="120" w:line="240" w:lineRule="auto"/>
              <w:ind w:left="34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A7A33">
            <w:pPr>
              <w:pStyle w:val="Bodytext20"/>
              <w:shd w:val="clear" w:color="auto" w:fill="auto"/>
              <w:spacing w:after="120" w:line="240" w:lineRule="auto"/>
              <w:ind w:left="34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DF7541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DF7541" w:rsidRPr="00586196" w:rsidRDefault="00FD4B47" w:rsidP="00586196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DF7541" w:rsidRPr="00586196" w:rsidRDefault="00DF7541" w:rsidP="00586196">
            <w:pPr>
              <w:spacing w:after="120"/>
            </w:pPr>
          </w:p>
        </w:tc>
      </w:tr>
      <w:tr w:rsidR="00B4680D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B4680D" w:rsidRPr="00586196" w:rsidRDefault="00B4680D" w:rsidP="00586196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</w:tr>
      <w:tr w:rsidR="00B4680D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B4680D" w:rsidRPr="00586196" w:rsidRDefault="00B4680D" w:rsidP="005A7A33">
            <w:pPr>
              <w:pStyle w:val="Bodytext20"/>
              <w:shd w:val="clear" w:color="auto" w:fill="auto"/>
              <w:spacing w:after="120" w:line="240" w:lineRule="auto"/>
              <w:ind w:left="34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</w:tr>
      <w:tr w:rsidR="00B4680D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B4680D" w:rsidRPr="00586196" w:rsidRDefault="00B4680D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</w:tr>
      <w:tr w:rsidR="00B4680D" w:rsidRPr="00586196" w:rsidTr="00B4680D">
        <w:trPr>
          <w:jc w:val="center"/>
        </w:trPr>
        <w:tc>
          <w:tcPr>
            <w:tcW w:w="4291" w:type="dxa"/>
            <w:shd w:val="clear" w:color="auto" w:fill="FFFFFF"/>
          </w:tcPr>
          <w:p w:rsidR="00B4680D" w:rsidRPr="00586196" w:rsidRDefault="00B4680D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</w:tr>
      <w:tr w:rsidR="00B4680D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B4680D" w:rsidRPr="00586196" w:rsidRDefault="00B4680D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</w:tr>
      <w:tr w:rsidR="00B4680D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B4680D" w:rsidRPr="00586196" w:rsidRDefault="00B4680D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4680D" w:rsidRPr="00586196" w:rsidRDefault="00B4680D" w:rsidP="00586196">
            <w:pPr>
              <w:spacing w:after="120"/>
            </w:pPr>
          </w:p>
        </w:tc>
      </w:tr>
      <w:tr w:rsidR="00C20805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C20805" w:rsidRPr="00586196" w:rsidRDefault="00C20805" w:rsidP="005A7A33">
            <w:pPr>
              <w:pStyle w:val="Bodytext20"/>
              <w:shd w:val="clear" w:color="auto" w:fill="auto"/>
              <w:spacing w:after="120" w:line="240" w:lineRule="auto"/>
              <w:ind w:left="34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</w:tr>
      <w:tr w:rsidR="00C20805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C20805" w:rsidRPr="00586196" w:rsidRDefault="00C2080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</w:tr>
      <w:tr w:rsidR="00C20805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C20805" w:rsidRPr="00586196" w:rsidRDefault="00C2080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</w:tr>
      <w:tr w:rsidR="00C20805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C20805" w:rsidRPr="00586196" w:rsidRDefault="00C2080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</w:tr>
      <w:tr w:rsidR="00C20805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20805" w:rsidRPr="00586196" w:rsidRDefault="00C20805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</w:tr>
      <w:tr w:rsidR="00C20805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20805" w:rsidRPr="00586196" w:rsidRDefault="00C20805" w:rsidP="00C20805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третьих государств**</w:t>
            </w:r>
          </w:p>
        </w:tc>
        <w:tc>
          <w:tcPr>
            <w:tcW w:w="1440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C20805" w:rsidRPr="00586196" w:rsidRDefault="00C20805" w:rsidP="00586196">
            <w:pPr>
              <w:spacing w:after="120"/>
            </w:pPr>
          </w:p>
        </w:tc>
      </w:tr>
      <w:tr w:rsidR="007C691D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7C691D" w:rsidRPr="00586196" w:rsidRDefault="007C691D" w:rsidP="007C691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</w:tr>
      <w:tr w:rsidR="00A02F2D" w:rsidRPr="00586196" w:rsidTr="00A02F2D">
        <w:trPr>
          <w:trHeight w:val="540"/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2D" w:rsidRPr="00586196" w:rsidRDefault="00A02F2D" w:rsidP="00E81A03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2D" w:rsidRPr="00586196" w:rsidRDefault="00A02F2D" w:rsidP="00E81A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2D" w:rsidRPr="00586196" w:rsidRDefault="00A02F2D" w:rsidP="00E81A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D" w:rsidRPr="00586196" w:rsidRDefault="00A02F2D" w:rsidP="00A02F2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A02F2D" w:rsidRPr="00586196" w:rsidTr="00A02F2D">
        <w:trPr>
          <w:trHeight w:val="525"/>
          <w:jc w:val="center"/>
        </w:trPr>
        <w:tc>
          <w:tcPr>
            <w:tcW w:w="4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D" w:rsidRPr="00586196" w:rsidRDefault="00A02F2D" w:rsidP="007C691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D" w:rsidRPr="00586196" w:rsidRDefault="00A02F2D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D" w:rsidRPr="00586196" w:rsidRDefault="00A02F2D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D" w:rsidRPr="00586196" w:rsidRDefault="00A02F2D" w:rsidP="00E81A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D" w:rsidRPr="00586196" w:rsidRDefault="00A02F2D" w:rsidP="00E81A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D" w:rsidRPr="00586196" w:rsidRDefault="00A02F2D" w:rsidP="00E81A0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EF504C" w:rsidRPr="00586196" w:rsidTr="00A02F2D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</w:tcPr>
          <w:p w:rsidR="00EF504C" w:rsidRPr="00586196" w:rsidRDefault="00C2559E" w:rsidP="007C691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EF504C" w:rsidRPr="00586196" w:rsidRDefault="00EF504C" w:rsidP="00586196">
            <w:pPr>
              <w:spacing w:after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EF504C" w:rsidRPr="00586196" w:rsidRDefault="00EF504C" w:rsidP="00586196">
            <w:pPr>
              <w:spacing w:after="120"/>
            </w:pP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FFFFF"/>
          </w:tcPr>
          <w:p w:rsidR="00EF504C" w:rsidRPr="00586196" w:rsidRDefault="00EF504C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EF504C" w:rsidRPr="00586196" w:rsidRDefault="00EF504C" w:rsidP="00586196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</w:tcPr>
          <w:p w:rsidR="00EF504C" w:rsidRPr="00586196" w:rsidRDefault="00EF504C" w:rsidP="00586196">
            <w:pPr>
              <w:spacing w:after="120"/>
            </w:pPr>
          </w:p>
        </w:tc>
      </w:tr>
      <w:tr w:rsidR="007C691D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7C691D" w:rsidRPr="00586196" w:rsidRDefault="00C2559E" w:rsidP="002865B4">
            <w:pPr>
              <w:pStyle w:val="Bodytext20"/>
              <w:shd w:val="clear" w:color="auto" w:fill="auto"/>
              <w:spacing w:after="120" w:line="240" w:lineRule="auto"/>
              <w:ind w:left="965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</w:tr>
      <w:tr w:rsidR="00C2559E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C2559E" w:rsidRPr="00586196" w:rsidRDefault="00C2559E" w:rsidP="00C2559E">
            <w:pPr>
              <w:pStyle w:val="Bodytext20"/>
              <w:shd w:val="clear" w:color="auto" w:fill="auto"/>
              <w:spacing w:after="120" w:line="240" w:lineRule="auto"/>
              <w:ind w:left="951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C2559E" w:rsidRPr="00586196" w:rsidRDefault="00C2559E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C2559E" w:rsidRPr="00586196" w:rsidRDefault="00C2559E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C2559E" w:rsidRPr="00586196" w:rsidRDefault="00C2559E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C2559E" w:rsidRPr="00586196" w:rsidRDefault="00C2559E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C2559E" w:rsidRPr="00586196" w:rsidRDefault="00C2559E" w:rsidP="00586196">
            <w:pPr>
              <w:spacing w:after="120"/>
            </w:pPr>
          </w:p>
        </w:tc>
      </w:tr>
      <w:tr w:rsidR="007C691D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7C691D" w:rsidRPr="00586196" w:rsidRDefault="007C691D" w:rsidP="002865B4">
            <w:pPr>
              <w:pStyle w:val="Bodytext20"/>
              <w:shd w:val="clear" w:color="auto" w:fill="auto"/>
              <w:spacing w:after="120" w:line="240" w:lineRule="auto"/>
              <w:ind w:left="979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7C691D" w:rsidRPr="00586196" w:rsidRDefault="007C691D" w:rsidP="00586196">
            <w:pPr>
              <w:spacing w:after="120"/>
            </w:pPr>
          </w:p>
        </w:tc>
      </w:tr>
      <w:tr w:rsidR="00E81A03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E32071" w:rsidRPr="00586196" w:rsidRDefault="00E32071" w:rsidP="00E32071">
            <w:pPr>
              <w:pStyle w:val="Bodytext20"/>
              <w:shd w:val="clear" w:color="auto" w:fill="auto"/>
              <w:spacing w:line="240" w:lineRule="auto"/>
              <w:ind w:left="420" w:hanging="42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Расходная часть - распределение Экспорт</w:t>
            </w:r>
          </w:p>
          <w:p w:rsidR="00E81A03" w:rsidRPr="00586196" w:rsidRDefault="00E32071" w:rsidP="00E32071">
            <w:pPr>
              <w:pStyle w:val="Bodytext20"/>
              <w:shd w:val="clear" w:color="auto" w:fill="auto"/>
              <w:spacing w:after="120" w:line="240" w:lineRule="auto"/>
              <w:ind w:left="62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40" w:type="dxa"/>
            <w:shd w:val="clear" w:color="auto" w:fill="FFFFFF"/>
          </w:tcPr>
          <w:p w:rsidR="00E81A03" w:rsidRPr="00586196" w:rsidRDefault="00E81A03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E81A03" w:rsidRPr="00586196" w:rsidRDefault="00E81A03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E81A03" w:rsidRPr="00586196" w:rsidRDefault="00E81A03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81A03" w:rsidRPr="00586196" w:rsidRDefault="00E81A03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E81A03" w:rsidRPr="00586196" w:rsidRDefault="00E81A03" w:rsidP="00586196">
            <w:pPr>
              <w:spacing w:after="120"/>
            </w:pPr>
          </w:p>
        </w:tc>
      </w:tr>
      <w:tr w:rsidR="00E32071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E32071" w:rsidRPr="00586196" w:rsidRDefault="00E32071" w:rsidP="00E32071">
            <w:pPr>
              <w:pStyle w:val="Bodytext20"/>
              <w:shd w:val="clear" w:color="auto" w:fill="auto"/>
              <w:spacing w:line="240" w:lineRule="auto"/>
              <w:ind w:left="908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</w:tr>
      <w:tr w:rsidR="00E32071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E32071" w:rsidRPr="00586196" w:rsidRDefault="00E32071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</w:tr>
      <w:tr w:rsidR="00E32071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E32071" w:rsidRPr="00586196" w:rsidRDefault="00E32071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</w:tr>
      <w:tr w:rsidR="00E32071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E32071" w:rsidRPr="00586196" w:rsidRDefault="00E32071" w:rsidP="00BD4686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</w:tr>
      <w:tr w:rsidR="00E32071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E32071" w:rsidRPr="00586196" w:rsidRDefault="00E32071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E32071" w:rsidRPr="00586196" w:rsidRDefault="00E32071" w:rsidP="00586196">
            <w:pPr>
              <w:spacing w:after="120"/>
            </w:pPr>
          </w:p>
        </w:tc>
      </w:tr>
      <w:tr w:rsidR="00BD4686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BD4686" w:rsidRPr="00586196" w:rsidRDefault="00BD4686" w:rsidP="00BD4686">
            <w:pPr>
              <w:pStyle w:val="Bodytext20"/>
              <w:shd w:val="clear" w:color="auto" w:fill="auto"/>
              <w:spacing w:line="240" w:lineRule="auto"/>
              <w:ind w:left="908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</w:tr>
      <w:tr w:rsidR="00BD4686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BD4686" w:rsidRPr="00586196" w:rsidRDefault="00BD4686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</w:tr>
      <w:tr w:rsidR="00BD4686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BD4686" w:rsidRPr="00586196" w:rsidRDefault="00BD4686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</w:tr>
      <w:tr w:rsidR="00BD4686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BD4686" w:rsidRPr="00586196" w:rsidRDefault="00BD4686" w:rsidP="00BD4686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</w:tr>
      <w:tr w:rsidR="00BD4686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BD4686" w:rsidRPr="00586196" w:rsidRDefault="00BD4686" w:rsidP="00BD4686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</w:tr>
      <w:tr w:rsidR="00BD4686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BD4686" w:rsidRPr="00586196" w:rsidRDefault="00BD4686" w:rsidP="00BD4686">
            <w:pPr>
              <w:pStyle w:val="Bodytext20"/>
              <w:shd w:val="clear" w:color="auto" w:fill="auto"/>
              <w:spacing w:line="240" w:lineRule="auto"/>
              <w:ind w:left="908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</w:tr>
      <w:tr w:rsidR="00BD4686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BD4686" w:rsidRPr="00586196" w:rsidRDefault="00BD4686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</w:tr>
      <w:tr w:rsidR="00BD4686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BD4686" w:rsidRPr="00586196" w:rsidRDefault="00BD4686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</w:tr>
      <w:tr w:rsidR="00BD4686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BD4686" w:rsidRPr="00586196" w:rsidRDefault="00BD4686" w:rsidP="00BD4686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</w:tr>
      <w:tr w:rsidR="00BD4686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BD4686" w:rsidRPr="00586196" w:rsidRDefault="00BD4686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BD4686" w:rsidRPr="00586196" w:rsidRDefault="00BD4686" w:rsidP="00586196">
            <w:pPr>
              <w:spacing w:after="120"/>
            </w:pPr>
          </w:p>
        </w:tc>
      </w:tr>
      <w:tr w:rsidR="00335976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335976" w:rsidRPr="00586196" w:rsidRDefault="00335976" w:rsidP="00335976">
            <w:pPr>
              <w:pStyle w:val="Bodytext20"/>
              <w:shd w:val="clear" w:color="auto" w:fill="auto"/>
              <w:spacing w:line="240" w:lineRule="auto"/>
              <w:ind w:left="908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</w:tr>
      <w:tr w:rsidR="00335976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335976" w:rsidRPr="00586196" w:rsidRDefault="00335976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</w:tr>
      <w:tr w:rsidR="00335976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335976" w:rsidRPr="00586196" w:rsidRDefault="00335976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</w:tr>
      <w:tr w:rsidR="00335976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335976" w:rsidRPr="00586196" w:rsidRDefault="00335976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</w:tr>
      <w:tr w:rsidR="00335976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335976" w:rsidRPr="00586196" w:rsidRDefault="00335976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</w:tr>
      <w:tr w:rsidR="00335976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335976" w:rsidRPr="00586196" w:rsidRDefault="00606A2B" w:rsidP="00606A2B">
            <w:pPr>
              <w:pStyle w:val="Bodytext20"/>
              <w:shd w:val="clear" w:color="auto" w:fill="auto"/>
              <w:spacing w:line="240" w:lineRule="auto"/>
              <w:ind w:left="908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1458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335976" w:rsidRPr="00586196" w:rsidRDefault="00335976" w:rsidP="00586196">
            <w:pPr>
              <w:spacing w:after="120"/>
            </w:pPr>
          </w:p>
        </w:tc>
      </w:tr>
      <w:tr w:rsidR="007532E2" w:rsidRPr="00586196" w:rsidTr="007532E2">
        <w:trPr>
          <w:trHeight w:val="540"/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2E2" w:rsidRPr="00586196" w:rsidRDefault="007532E2" w:rsidP="007532E2">
            <w:pPr>
              <w:pStyle w:val="Bodytext20"/>
              <w:shd w:val="clear" w:color="auto" w:fill="auto"/>
              <w:spacing w:after="120" w:line="240" w:lineRule="auto"/>
              <w:ind w:left="415" w:right="472" w:firstLine="0"/>
              <w:jc w:val="center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2E2" w:rsidRPr="00586196" w:rsidRDefault="007532E2" w:rsidP="007532E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Отчетный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за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2E2" w:rsidRPr="00586196" w:rsidRDefault="007532E2" w:rsidP="007532E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E2" w:rsidRPr="00586196" w:rsidRDefault="007532E2" w:rsidP="007532E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Прогнозный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7532E2" w:rsidRPr="00586196" w:rsidTr="007532E2">
        <w:trPr>
          <w:trHeight w:val="525"/>
          <w:jc w:val="center"/>
        </w:trPr>
        <w:tc>
          <w:tcPr>
            <w:tcW w:w="4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2E2" w:rsidRPr="00586196" w:rsidRDefault="007532E2" w:rsidP="00606A2B">
            <w:pPr>
              <w:pStyle w:val="Bodytext20"/>
              <w:shd w:val="clear" w:color="auto" w:fill="auto"/>
              <w:spacing w:line="240" w:lineRule="auto"/>
              <w:ind w:left="908" w:firstLine="0"/>
              <w:rPr>
                <w:rStyle w:val="Bodytext212pt"/>
                <w:rFonts w:ascii="Sylfaen" w:hAnsi="Sylfae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E2" w:rsidRPr="00586196" w:rsidRDefault="007532E2" w:rsidP="007532E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E2" w:rsidRPr="00586196" w:rsidRDefault="007532E2" w:rsidP="007532E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E2" w:rsidRPr="00586196" w:rsidRDefault="007532E2" w:rsidP="007532E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586196">
              <w:rPr>
                <w:rStyle w:val="Bodytext212pt"/>
                <w:rFonts w:ascii="Sylfaen" w:hAnsi="Sylfaen"/>
              </w:rPr>
              <w:t>в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20__</w:t>
            </w:r>
            <w:r w:rsidRPr="00586196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586196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7532E2" w:rsidRPr="00586196" w:rsidTr="007532E2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32E2" w:rsidRPr="00586196" w:rsidRDefault="007532E2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</w:tr>
      <w:tr w:rsidR="007532E2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7532E2" w:rsidRPr="00586196" w:rsidRDefault="007532E2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</w:tr>
      <w:tr w:rsidR="007532E2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7532E2" w:rsidRPr="00586196" w:rsidRDefault="007532E2" w:rsidP="00EA23D3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</w:tr>
      <w:tr w:rsidR="007532E2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7532E2" w:rsidRPr="00586196" w:rsidRDefault="007532E2" w:rsidP="00610BEC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</w:tr>
      <w:tr w:rsidR="007532E2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7532E2" w:rsidRPr="00586196" w:rsidRDefault="00610BEC" w:rsidP="00610BEC">
            <w:pPr>
              <w:pStyle w:val="Bodytext20"/>
              <w:shd w:val="clear" w:color="auto" w:fill="auto"/>
              <w:spacing w:after="120" w:line="240" w:lineRule="auto"/>
              <w:ind w:left="624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в третьи государства**</w:t>
            </w:r>
          </w:p>
        </w:tc>
        <w:tc>
          <w:tcPr>
            <w:tcW w:w="1440" w:type="dxa"/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7532E2" w:rsidRPr="00586196" w:rsidRDefault="007532E2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7532E2" w:rsidRPr="00586196" w:rsidRDefault="007532E2" w:rsidP="00586196">
            <w:pPr>
              <w:spacing w:after="120"/>
            </w:pPr>
          </w:p>
        </w:tc>
      </w:tr>
      <w:tr w:rsidR="00610BEC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610BEC" w:rsidRPr="00586196" w:rsidRDefault="00610BEC" w:rsidP="00EA23D3">
            <w:pPr>
              <w:pStyle w:val="Bodytext20"/>
              <w:shd w:val="clear" w:color="auto" w:fill="auto"/>
              <w:spacing w:after="120" w:line="240" w:lineRule="auto"/>
              <w:ind w:left="100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</w:tr>
      <w:tr w:rsidR="00610BEC" w:rsidRPr="00586196" w:rsidTr="00EA23D3">
        <w:trPr>
          <w:jc w:val="center"/>
        </w:trPr>
        <w:tc>
          <w:tcPr>
            <w:tcW w:w="4291" w:type="dxa"/>
            <w:shd w:val="clear" w:color="auto" w:fill="FFFFFF"/>
          </w:tcPr>
          <w:p w:rsidR="00610BEC" w:rsidRPr="00586196" w:rsidRDefault="00610BEC" w:rsidP="00EA23D3">
            <w:pPr>
              <w:pStyle w:val="Bodytext20"/>
              <w:shd w:val="clear" w:color="auto" w:fill="auto"/>
              <w:spacing w:after="120" w:line="240" w:lineRule="auto"/>
              <w:ind w:left="100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</w:tr>
      <w:tr w:rsidR="00610BEC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610BEC" w:rsidRPr="00586196" w:rsidRDefault="00610BEC" w:rsidP="00EA23D3">
            <w:pPr>
              <w:pStyle w:val="Bodytext20"/>
              <w:shd w:val="clear" w:color="auto" w:fill="auto"/>
              <w:spacing w:after="120" w:line="240" w:lineRule="auto"/>
              <w:ind w:left="100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</w:tr>
      <w:tr w:rsidR="00610BEC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610BEC" w:rsidRPr="00586196" w:rsidRDefault="00610BEC" w:rsidP="00EA23D3">
            <w:pPr>
              <w:pStyle w:val="Bodytext20"/>
              <w:shd w:val="clear" w:color="auto" w:fill="auto"/>
              <w:spacing w:after="120" w:line="240" w:lineRule="auto"/>
              <w:ind w:left="100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</w:tr>
      <w:tr w:rsidR="00610BEC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610BEC" w:rsidRPr="00586196" w:rsidRDefault="00610BEC" w:rsidP="00EA23D3">
            <w:pPr>
              <w:pStyle w:val="Bodytext20"/>
              <w:shd w:val="clear" w:color="auto" w:fill="auto"/>
              <w:spacing w:after="120" w:line="240" w:lineRule="auto"/>
              <w:ind w:left="100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</w:tr>
      <w:tr w:rsidR="00610BEC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610BEC" w:rsidRPr="00586196" w:rsidRDefault="00610BEC" w:rsidP="006D5A89">
            <w:pPr>
              <w:pStyle w:val="Bodytext20"/>
              <w:shd w:val="clear" w:color="auto" w:fill="auto"/>
              <w:spacing w:line="240" w:lineRule="auto"/>
              <w:ind w:left="341" w:firstLine="0"/>
              <w:rPr>
                <w:rStyle w:val="Bodytext212pt"/>
                <w:rFonts w:ascii="Sylfaen" w:hAnsi="Sylfaen"/>
              </w:rPr>
            </w:pPr>
            <w:r w:rsidRPr="00586196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40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10BEC" w:rsidRPr="00586196" w:rsidRDefault="00610BEC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10BEC" w:rsidRPr="00586196" w:rsidRDefault="00610BEC" w:rsidP="00586196">
            <w:pPr>
              <w:spacing w:after="120"/>
            </w:pPr>
          </w:p>
        </w:tc>
      </w:tr>
      <w:tr w:rsidR="006D5A89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6D5A89" w:rsidRPr="00586196" w:rsidRDefault="006D5A89" w:rsidP="00EA23D3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shd w:val="clear" w:color="auto" w:fill="FFFFFF"/>
          </w:tcPr>
          <w:p w:rsidR="006D5A89" w:rsidRPr="00586196" w:rsidRDefault="006D5A8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D5A89" w:rsidRPr="00586196" w:rsidRDefault="006D5A8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</w:tr>
      <w:tr w:rsidR="006D5A89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6D5A89" w:rsidRPr="00586196" w:rsidRDefault="006D5A89" w:rsidP="00EA23D3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shd w:val="clear" w:color="auto" w:fill="FFFFFF"/>
          </w:tcPr>
          <w:p w:rsidR="006D5A89" w:rsidRPr="00586196" w:rsidRDefault="006D5A8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D5A89" w:rsidRPr="00586196" w:rsidRDefault="006D5A8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</w:tr>
      <w:tr w:rsidR="006D5A89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6D5A89" w:rsidRPr="00586196" w:rsidRDefault="006D5A89" w:rsidP="00EA23D3">
            <w:pPr>
              <w:pStyle w:val="Bodytext20"/>
              <w:shd w:val="clear" w:color="auto" w:fill="auto"/>
              <w:spacing w:after="120" w:line="240" w:lineRule="auto"/>
              <w:ind w:right="106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shd w:val="clear" w:color="auto" w:fill="FFFFFF"/>
          </w:tcPr>
          <w:p w:rsidR="006D5A89" w:rsidRPr="00586196" w:rsidRDefault="006D5A8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D5A89" w:rsidRPr="00586196" w:rsidRDefault="006D5A8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</w:tr>
      <w:tr w:rsidR="006D5A89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6D5A89" w:rsidRPr="00586196" w:rsidRDefault="006D5A89" w:rsidP="00EA23D3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shd w:val="clear" w:color="auto" w:fill="FFFFFF"/>
          </w:tcPr>
          <w:p w:rsidR="006D5A89" w:rsidRPr="00586196" w:rsidRDefault="006D5A8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D5A89" w:rsidRPr="00586196" w:rsidRDefault="006D5A8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</w:tr>
      <w:tr w:rsidR="006D5A89" w:rsidRPr="00586196" w:rsidTr="00EA23D3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6D5A89" w:rsidRPr="00586196" w:rsidRDefault="006D5A89" w:rsidP="00EA23D3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Sylfaen" w:hAnsi="Sylfaen"/>
                <w:sz w:val="24"/>
                <w:szCs w:val="24"/>
              </w:rPr>
            </w:pPr>
            <w:r w:rsidRPr="00586196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6D5A89" w:rsidRPr="00586196" w:rsidRDefault="006D5A8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1458" w:type="dxa"/>
            <w:shd w:val="clear" w:color="auto" w:fill="FFFFFF"/>
          </w:tcPr>
          <w:p w:rsidR="006D5A89" w:rsidRPr="00586196" w:rsidRDefault="006D5A89" w:rsidP="00586196">
            <w:pPr>
              <w:spacing w:after="120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64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  <w:tc>
          <w:tcPr>
            <w:tcW w:w="594" w:type="dxa"/>
            <w:shd w:val="clear" w:color="auto" w:fill="FFFFFF"/>
          </w:tcPr>
          <w:p w:rsidR="006D5A89" w:rsidRPr="00586196" w:rsidRDefault="006D5A89" w:rsidP="00586196">
            <w:pPr>
              <w:spacing w:after="120"/>
            </w:pPr>
          </w:p>
        </w:tc>
      </w:tr>
    </w:tbl>
    <w:p w:rsidR="00DF7541" w:rsidRPr="00586196" w:rsidRDefault="00DF7541" w:rsidP="002865B4">
      <w:pPr>
        <w:spacing w:after="120"/>
      </w:pPr>
    </w:p>
    <w:sectPr w:rsidR="00DF7541" w:rsidRPr="00586196" w:rsidSect="00586196">
      <w:footerReference w:type="default" r:id="rId9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6D" w:rsidRDefault="00DD076D" w:rsidP="00DF7541">
      <w:r>
        <w:separator/>
      </w:r>
    </w:p>
  </w:endnote>
  <w:endnote w:type="continuationSeparator" w:id="0">
    <w:p w:rsidR="00DD076D" w:rsidRDefault="00DD076D" w:rsidP="00DF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D3" w:rsidRDefault="00EA23D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6D" w:rsidRDefault="00DD076D">
      <w:r>
        <w:separator/>
      </w:r>
    </w:p>
  </w:footnote>
  <w:footnote w:type="continuationSeparator" w:id="0">
    <w:p w:rsidR="00DD076D" w:rsidRDefault="00DD076D">
      <w:r>
        <w:continuationSeparator/>
      </w:r>
    </w:p>
  </w:footnote>
  <w:footnote w:id="1">
    <w:p w:rsidR="00C3616F" w:rsidRPr="00C3616F" w:rsidRDefault="00C3616F">
      <w:pPr>
        <w:pStyle w:val="FootnoteText"/>
      </w:pPr>
      <w:r w:rsidRPr="00C3616F">
        <w:rPr>
          <w:rStyle w:val="FootnoteReference"/>
          <w:sz w:val="24"/>
          <w:szCs w:val="24"/>
          <w:vertAlign w:val="baseline"/>
        </w:rPr>
        <w:t>*</w:t>
      </w:r>
      <w:r>
        <w:t xml:space="preserve"> Относится к Российской Федерации.</w:t>
      </w:r>
    </w:p>
  </w:footnote>
  <w:footnote w:id="2">
    <w:p w:rsidR="001B0A04" w:rsidRPr="00164153" w:rsidRDefault="00211AE2" w:rsidP="001B0A04">
      <w:pPr>
        <w:pStyle w:val="FootnoteText"/>
        <w:rPr>
          <w:rStyle w:val="Tablecaption21"/>
          <w:rFonts w:ascii="Sylfaen" w:eastAsia="Sylfaen" w:hAnsi="Sylfaen"/>
          <w:sz w:val="20"/>
          <w:szCs w:val="20"/>
        </w:rPr>
      </w:pPr>
      <w:r w:rsidRPr="00317EBC">
        <w:rPr>
          <w:rStyle w:val="FootnoteReference"/>
          <w:vertAlign w:val="baseline"/>
        </w:rPr>
        <w:t>*</w:t>
      </w:r>
      <w:r>
        <w:t xml:space="preserve"> </w:t>
      </w:r>
      <w:r w:rsidR="001B0A04" w:rsidRPr="0058184D">
        <w:rPr>
          <w:rStyle w:val="Tablecaption21"/>
          <w:rFonts w:ascii="Sylfaen" w:eastAsia="Sylfaen" w:hAnsi="Sylfaen"/>
          <w:sz w:val="20"/>
          <w:szCs w:val="20"/>
        </w:rPr>
        <w:t>Указывается справочно и не требует согласования уполномоченными органами государств-членов.</w:t>
      </w:r>
    </w:p>
    <w:p w:rsidR="00211AE2" w:rsidRPr="001B0A04" w:rsidRDefault="001B0A04" w:rsidP="001B0A04">
      <w:pPr>
        <w:pStyle w:val="FootnoteText"/>
      </w:pPr>
      <w:r w:rsidRPr="00F406C2">
        <w:rPr>
          <w:rStyle w:val="Tablecaption21"/>
          <w:rFonts w:ascii="Sylfaen" w:eastAsia="Sylfaen" w:hAnsi="Sylfaen"/>
          <w:sz w:val="20"/>
          <w:szCs w:val="20"/>
        </w:rPr>
        <w:t xml:space="preserve">** Не указывается </w:t>
      </w:r>
      <w:r>
        <w:rPr>
          <w:rStyle w:val="Tablecaption21"/>
          <w:rFonts w:ascii="Sylfaen" w:eastAsia="Sylfaen" w:hAnsi="Sylfaen"/>
          <w:sz w:val="20"/>
          <w:szCs w:val="20"/>
        </w:rPr>
        <w:t>государство-член, которое представляет настоящий баланс.</w:t>
      </w:r>
    </w:p>
  </w:footnote>
  <w:footnote w:id="3">
    <w:p w:rsidR="001B0A04" w:rsidRPr="001B0A04" w:rsidRDefault="001B0A04">
      <w:pPr>
        <w:pStyle w:val="FootnoteText"/>
        <w:rPr>
          <w:lang w:val="en-US"/>
        </w:rPr>
      </w:pPr>
    </w:p>
  </w:footnote>
  <w:footnote w:id="4">
    <w:p w:rsidR="00F238E6" w:rsidRPr="00F238E6" w:rsidRDefault="00F238E6">
      <w:pPr>
        <w:pStyle w:val="FootnoteText"/>
      </w:pPr>
      <w:r w:rsidRPr="00317EBC">
        <w:rPr>
          <w:rStyle w:val="FootnoteReference"/>
          <w:vertAlign w:val="baseline"/>
        </w:rPr>
        <w:t>*</w:t>
      </w:r>
      <w:r>
        <w:t xml:space="preserve"> </w:t>
      </w:r>
      <w:r w:rsidR="00E44938" w:rsidRPr="00672F93">
        <w:t>Заполняется</w:t>
      </w:r>
      <w:r w:rsidR="00E44938" w:rsidRPr="00672F93">
        <w:rPr>
          <w:lang w:eastAsia="en-US" w:bidi="en-US"/>
        </w:rPr>
        <w:t xml:space="preserve"> </w:t>
      </w:r>
      <w:r w:rsidR="00E44938" w:rsidRPr="00672F93">
        <w:t>Комиссией на основе</w:t>
      </w:r>
      <w:r w:rsidR="00E44938" w:rsidRPr="00672F93">
        <w:rPr>
          <w:lang w:eastAsia="en-US" w:bidi="en-US"/>
        </w:rPr>
        <w:t xml:space="preserve"> </w:t>
      </w:r>
      <w:r w:rsidR="00E44938" w:rsidRPr="00672F93">
        <w:t>статистических данных, представленных</w:t>
      </w:r>
      <w:r w:rsidR="00E44938" w:rsidRPr="00672F93">
        <w:rPr>
          <w:lang w:eastAsia="en-US" w:bidi="en-US"/>
        </w:rPr>
        <w:t xml:space="preserve"> </w:t>
      </w:r>
      <w:r w:rsidR="00E44938" w:rsidRPr="00672F93">
        <w:t>государствами-членами.</w:t>
      </w:r>
    </w:p>
  </w:footnote>
  <w:footnote w:id="5">
    <w:p w:rsidR="00E44938" w:rsidRPr="00E44938" w:rsidRDefault="00E44938">
      <w:pPr>
        <w:pStyle w:val="FootnoteText"/>
      </w:pPr>
      <w:r w:rsidRPr="00317EBC">
        <w:rPr>
          <w:rStyle w:val="FootnoteReference"/>
          <w:vertAlign w:val="baseline"/>
        </w:rPr>
        <w:t>**</w:t>
      </w:r>
      <w:r>
        <w:t xml:space="preserve"> Указывается справочно и не требует согласования уполномоченными органами государств-членов</w:t>
      </w:r>
    </w:p>
  </w:footnote>
  <w:footnote w:id="6">
    <w:p w:rsidR="00EA23D3" w:rsidRPr="00534011" w:rsidRDefault="00EA23D3" w:rsidP="00534011">
      <w:pPr>
        <w:pStyle w:val="Tablecaption20"/>
        <w:shd w:val="clear" w:color="auto" w:fill="auto"/>
        <w:spacing w:line="240" w:lineRule="auto"/>
        <w:jc w:val="both"/>
        <w:rPr>
          <w:rFonts w:ascii="Sylfaen" w:hAnsi="Sylfaen"/>
          <w:sz w:val="20"/>
          <w:szCs w:val="20"/>
        </w:rPr>
      </w:pPr>
      <w:r>
        <w:rPr>
          <w:rStyle w:val="FootnoteReference"/>
        </w:rPr>
        <w:t>*</w:t>
      </w:r>
      <w:r>
        <w:t xml:space="preserve"> </w:t>
      </w:r>
      <w:r w:rsidRPr="00F41E19">
        <w:rPr>
          <w:rStyle w:val="Tablecaption21"/>
          <w:rFonts w:ascii="Sylfaen" w:hAnsi="Sylfaen"/>
          <w:sz w:val="20"/>
          <w:szCs w:val="20"/>
        </w:rPr>
        <w:t>Указывается справочно и не требует согласования уполномоченными органами государств-членов.</w:t>
      </w:r>
    </w:p>
  </w:footnote>
  <w:footnote w:id="7">
    <w:p w:rsidR="00EA23D3" w:rsidRPr="00C66532" w:rsidRDefault="00EA23D3">
      <w:pPr>
        <w:pStyle w:val="FootnoteText"/>
      </w:pPr>
      <w:r>
        <w:rPr>
          <w:rStyle w:val="FootnoteReference"/>
        </w:rPr>
        <w:t>**</w:t>
      </w:r>
      <w:r w:rsidRPr="00534011">
        <w:t xml:space="preserve"> </w:t>
      </w:r>
      <w:r>
        <w:t xml:space="preserve">Не указывается государство-член, которое представляет настоящий баланс. </w:t>
      </w:r>
    </w:p>
  </w:footnote>
  <w:footnote w:id="8">
    <w:p w:rsidR="00EA23D3" w:rsidRPr="00303664" w:rsidRDefault="00EA23D3" w:rsidP="00303664">
      <w:pPr>
        <w:pStyle w:val="Tablecaption20"/>
        <w:shd w:val="clear" w:color="auto" w:fill="auto"/>
        <w:spacing w:after="12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E01F9A">
        <w:rPr>
          <w:rStyle w:val="FootnoteReference"/>
          <w:sz w:val="20"/>
          <w:szCs w:val="20"/>
        </w:rPr>
        <w:t>*</w:t>
      </w:r>
      <w:r>
        <w:t xml:space="preserve"> </w:t>
      </w:r>
      <w:r w:rsidRPr="00303664">
        <w:rPr>
          <w:rStyle w:val="Tablecaption21"/>
          <w:rFonts w:ascii="Sylfaen" w:hAnsi="Sylfaen"/>
          <w:sz w:val="20"/>
          <w:szCs w:val="20"/>
        </w:rPr>
        <w:t>Заполняется</w:t>
      </w:r>
      <w:r w:rsidRPr="00303664">
        <w:rPr>
          <w:rStyle w:val="Tablecaption21"/>
          <w:rFonts w:ascii="Sylfaen" w:hAnsi="Sylfaen"/>
          <w:sz w:val="20"/>
          <w:szCs w:val="20"/>
          <w:lang w:eastAsia="en-US" w:bidi="en-US"/>
        </w:rPr>
        <w:t xml:space="preserve"> </w:t>
      </w:r>
      <w:r w:rsidRPr="00303664">
        <w:rPr>
          <w:rStyle w:val="Tablecaption21"/>
          <w:rFonts w:ascii="Sylfaen" w:hAnsi="Sylfaen"/>
          <w:sz w:val="20"/>
          <w:szCs w:val="20"/>
        </w:rPr>
        <w:t>Комиссией на основе статистических данных, представленных</w:t>
      </w:r>
      <w:r w:rsidRPr="00303664">
        <w:rPr>
          <w:rStyle w:val="Tablecaption21"/>
          <w:rFonts w:ascii="Sylfaen" w:hAnsi="Sylfaen"/>
          <w:sz w:val="20"/>
          <w:szCs w:val="20"/>
          <w:lang w:eastAsia="en-US" w:bidi="en-US"/>
        </w:rPr>
        <w:t xml:space="preserve"> </w:t>
      </w:r>
      <w:r w:rsidRPr="00303664">
        <w:rPr>
          <w:rStyle w:val="Tablecaption21"/>
          <w:rFonts w:ascii="Sylfaen" w:hAnsi="Sylfaen"/>
          <w:sz w:val="20"/>
          <w:szCs w:val="20"/>
        </w:rPr>
        <w:t>государствами-членами.</w:t>
      </w:r>
    </w:p>
  </w:footnote>
  <w:footnote w:id="9">
    <w:p w:rsidR="00EA23D3" w:rsidRPr="003044E9" w:rsidRDefault="00EA23D3">
      <w:pPr>
        <w:pStyle w:val="FootnoteText"/>
      </w:pPr>
      <w:r w:rsidRPr="00E01F9A">
        <w:rPr>
          <w:rStyle w:val="FootnoteReference"/>
          <w:vertAlign w:val="baseline"/>
        </w:rPr>
        <w:t>**</w:t>
      </w:r>
      <w:r>
        <w:t xml:space="preserve"> Указывается справочно и не требует согласования уполномоченными органами государств-членов.</w:t>
      </w:r>
    </w:p>
  </w:footnote>
  <w:footnote w:id="10">
    <w:p w:rsidR="00EA23D3" w:rsidRPr="00C13B98" w:rsidRDefault="00EA23D3" w:rsidP="00C13B98">
      <w:pPr>
        <w:pStyle w:val="Tablecaption20"/>
        <w:shd w:val="clear" w:color="auto" w:fill="auto"/>
        <w:spacing w:after="120" w:line="240" w:lineRule="auto"/>
        <w:jc w:val="both"/>
        <w:rPr>
          <w:rFonts w:ascii="Sylfaen" w:hAnsi="Sylfaen"/>
          <w:sz w:val="20"/>
          <w:szCs w:val="24"/>
        </w:rPr>
      </w:pPr>
      <w:r w:rsidRPr="002C10A5">
        <w:rPr>
          <w:rStyle w:val="FootnoteReference"/>
          <w:sz w:val="20"/>
          <w:szCs w:val="20"/>
        </w:rPr>
        <w:t>*</w:t>
      </w:r>
      <w:r>
        <w:t xml:space="preserve"> </w:t>
      </w:r>
      <w:r w:rsidRPr="00C13B98">
        <w:rPr>
          <w:rStyle w:val="Tablecaption21"/>
          <w:rFonts w:ascii="Sylfaen" w:hAnsi="Sylfaen"/>
          <w:sz w:val="20"/>
          <w:szCs w:val="24"/>
        </w:rPr>
        <w:t>Указывается справочно и не требует согласования уполномоченными органами государств-членов.</w:t>
      </w:r>
    </w:p>
  </w:footnote>
  <w:footnote w:id="11">
    <w:p w:rsidR="00EA23D3" w:rsidRPr="00126021" w:rsidRDefault="00EA23D3">
      <w:pPr>
        <w:pStyle w:val="FootnoteText"/>
      </w:pPr>
      <w:r w:rsidRPr="002C10A5">
        <w:rPr>
          <w:rStyle w:val="FootnoteReference"/>
          <w:vertAlign w:val="baseline"/>
        </w:rPr>
        <w:t>**</w:t>
      </w:r>
      <w:r>
        <w:t xml:space="preserve"> Не указывается государство-член, которое представляет настоящий баланс.</w:t>
      </w:r>
    </w:p>
  </w:footnote>
  <w:footnote w:id="12">
    <w:p w:rsidR="00EA23D3" w:rsidRPr="00621B1A" w:rsidRDefault="00EA23D3" w:rsidP="00621B1A">
      <w:pPr>
        <w:pStyle w:val="Tablecaption20"/>
        <w:shd w:val="clear" w:color="auto" w:fill="auto"/>
        <w:spacing w:after="120" w:line="240" w:lineRule="auto"/>
        <w:jc w:val="both"/>
        <w:rPr>
          <w:rFonts w:ascii="Sylfaen" w:hAnsi="Sylfaen"/>
          <w:sz w:val="20"/>
          <w:szCs w:val="24"/>
        </w:rPr>
      </w:pPr>
      <w:r w:rsidRPr="002C10A5">
        <w:rPr>
          <w:rStyle w:val="FootnoteReference"/>
          <w:rFonts w:ascii="Sylfaen" w:hAnsi="Sylfaen"/>
          <w:sz w:val="20"/>
          <w:szCs w:val="20"/>
          <w:vertAlign w:val="baseline"/>
        </w:rPr>
        <w:t>*</w:t>
      </w:r>
      <w:r>
        <w:t xml:space="preserve"> </w:t>
      </w:r>
      <w:r w:rsidRPr="00621B1A">
        <w:rPr>
          <w:rStyle w:val="Tablecaption21"/>
          <w:rFonts w:ascii="Sylfaen" w:hAnsi="Sylfaen"/>
          <w:sz w:val="20"/>
          <w:szCs w:val="24"/>
        </w:rPr>
        <w:t>Заполняется</w:t>
      </w:r>
      <w:r w:rsidRPr="00621B1A">
        <w:rPr>
          <w:rStyle w:val="Tablecaption21"/>
          <w:rFonts w:ascii="Sylfaen" w:hAnsi="Sylfaen"/>
          <w:sz w:val="20"/>
          <w:szCs w:val="24"/>
          <w:lang w:eastAsia="en-US" w:bidi="en-US"/>
        </w:rPr>
        <w:t xml:space="preserve"> </w:t>
      </w:r>
      <w:r w:rsidRPr="00621B1A">
        <w:rPr>
          <w:rStyle w:val="Tablecaption21"/>
          <w:rFonts w:ascii="Sylfaen" w:hAnsi="Sylfaen"/>
          <w:sz w:val="20"/>
          <w:szCs w:val="24"/>
        </w:rPr>
        <w:t>Комиссией на основе статистических данных, представленных</w:t>
      </w:r>
      <w:r w:rsidRPr="00621B1A">
        <w:rPr>
          <w:rStyle w:val="Tablecaption21"/>
          <w:rFonts w:ascii="Sylfaen" w:hAnsi="Sylfaen"/>
          <w:sz w:val="20"/>
          <w:szCs w:val="24"/>
          <w:lang w:eastAsia="en-US" w:bidi="en-US"/>
        </w:rPr>
        <w:t xml:space="preserve"> </w:t>
      </w:r>
      <w:r w:rsidRPr="00621B1A">
        <w:rPr>
          <w:rStyle w:val="Tablecaption21"/>
          <w:rFonts w:ascii="Sylfaen" w:hAnsi="Sylfaen"/>
          <w:sz w:val="20"/>
          <w:szCs w:val="24"/>
        </w:rPr>
        <w:t>государствами-членами.</w:t>
      </w:r>
    </w:p>
  </w:footnote>
  <w:footnote w:id="13">
    <w:p w:rsidR="00EA23D3" w:rsidRPr="00AB2C86" w:rsidRDefault="00EA23D3">
      <w:pPr>
        <w:pStyle w:val="FootnoteText"/>
      </w:pPr>
      <w:r w:rsidRPr="002C10A5">
        <w:rPr>
          <w:rStyle w:val="FootnoteReference"/>
          <w:vertAlign w:val="baseline"/>
        </w:rPr>
        <w:t>**</w:t>
      </w:r>
      <w:r>
        <w:t xml:space="preserve"> Указывается справочно и не требует согласования уполномоченными органами государств-членов.</w:t>
      </w:r>
    </w:p>
  </w:footnote>
  <w:footnote w:id="14">
    <w:p w:rsidR="00EA23D3" w:rsidRPr="00A8566C" w:rsidRDefault="00EA23D3" w:rsidP="00A8566C">
      <w:pPr>
        <w:pStyle w:val="Tablecaption20"/>
        <w:shd w:val="clear" w:color="auto" w:fill="auto"/>
        <w:spacing w:after="120" w:line="240" w:lineRule="auto"/>
        <w:jc w:val="both"/>
        <w:rPr>
          <w:rFonts w:ascii="Sylfaen" w:hAnsi="Sylfaen"/>
          <w:sz w:val="20"/>
          <w:szCs w:val="20"/>
        </w:rPr>
      </w:pPr>
      <w:r w:rsidRPr="005414D6">
        <w:rPr>
          <w:rStyle w:val="FootnoteReference"/>
          <w:rFonts w:ascii="Sylfaen" w:hAnsi="Sylfaen"/>
          <w:sz w:val="20"/>
          <w:szCs w:val="20"/>
          <w:vertAlign w:val="baseline"/>
        </w:rPr>
        <w:t>*</w:t>
      </w:r>
      <w:r>
        <w:t xml:space="preserve"> </w:t>
      </w:r>
      <w:r w:rsidRPr="00A8566C">
        <w:rPr>
          <w:rStyle w:val="Tablecaption21"/>
          <w:rFonts w:ascii="Sylfaen" w:hAnsi="Sylfaen"/>
          <w:sz w:val="20"/>
          <w:szCs w:val="20"/>
        </w:rPr>
        <w:t>Указывается справочно и не требует согласования уполномоченными органами государств-членов.</w:t>
      </w:r>
    </w:p>
  </w:footnote>
  <w:footnote w:id="15">
    <w:p w:rsidR="00EA23D3" w:rsidRPr="00A8566C" w:rsidRDefault="00EA23D3">
      <w:pPr>
        <w:pStyle w:val="FootnoteText"/>
      </w:pPr>
      <w:r w:rsidRPr="005414D6">
        <w:rPr>
          <w:rStyle w:val="FootnoteReference"/>
          <w:vertAlign w:val="baseline"/>
        </w:rPr>
        <w:t>**</w:t>
      </w:r>
      <w:r>
        <w:t xml:space="preserve"> Не указывается государство-член, которое представляет настоящий баланс.</w:t>
      </w:r>
    </w:p>
  </w:footnote>
  <w:footnote w:id="16">
    <w:p w:rsidR="00EA23D3" w:rsidRPr="003F5FB9" w:rsidRDefault="00EA23D3">
      <w:pPr>
        <w:pStyle w:val="FootnoteText"/>
      </w:pPr>
      <w:r w:rsidRPr="004954CA">
        <w:rPr>
          <w:rStyle w:val="FootnoteReference"/>
          <w:vertAlign w:val="baseline"/>
        </w:rPr>
        <w:t>*</w:t>
      </w:r>
      <w:r w:rsidRPr="004954CA">
        <w:t xml:space="preserve"> </w:t>
      </w:r>
      <w:r>
        <w:t>Заполняется Комиссией на основе статистических данных, представленных государствами-членами.</w:t>
      </w:r>
    </w:p>
  </w:footnote>
  <w:footnote w:id="17">
    <w:p w:rsidR="00EA23D3" w:rsidRPr="00CE4771" w:rsidRDefault="00EA23D3" w:rsidP="00CE4771">
      <w:pPr>
        <w:pStyle w:val="Tablecaption20"/>
        <w:shd w:val="clear" w:color="auto" w:fill="auto"/>
        <w:spacing w:after="120" w:line="240" w:lineRule="auto"/>
        <w:jc w:val="both"/>
        <w:rPr>
          <w:rFonts w:ascii="Sylfaen" w:hAnsi="Sylfaen"/>
          <w:sz w:val="20"/>
          <w:szCs w:val="20"/>
        </w:rPr>
      </w:pPr>
      <w:r w:rsidRPr="004954CA">
        <w:rPr>
          <w:rStyle w:val="FootnoteReference"/>
          <w:rFonts w:ascii="Sylfaen" w:hAnsi="Sylfaen"/>
          <w:vertAlign w:val="baseline"/>
        </w:rPr>
        <w:t>**</w:t>
      </w:r>
      <w:r>
        <w:t xml:space="preserve"> </w:t>
      </w:r>
      <w:r w:rsidRPr="00CE4771">
        <w:rPr>
          <w:rStyle w:val="Tablecaption21"/>
          <w:rFonts w:ascii="Sylfaen" w:hAnsi="Sylfaen"/>
          <w:sz w:val="20"/>
          <w:szCs w:val="20"/>
        </w:rPr>
        <w:t>Указывается справочно и не требует согласования уполномоченными органами государств-членов.</w:t>
      </w:r>
    </w:p>
  </w:footnote>
  <w:footnote w:id="18">
    <w:p w:rsidR="00EA23D3" w:rsidRPr="002C6545" w:rsidRDefault="00EA23D3">
      <w:pPr>
        <w:pStyle w:val="FootnoteText"/>
      </w:pPr>
      <w:r w:rsidRPr="006726B2">
        <w:rPr>
          <w:rStyle w:val="FootnoteReference"/>
          <w:vertAlign w:val="baseline"/>
        </w:rPr>
        <w:t>*</w:t>
      </w:r>
      <w:r>
        <w:t xml:space="preserve"> </w:t>
      </w:r>
      <w:r w:rsidRPr="002C6545">
        <w:rPr>
          <w:rStyle w:val="Tablecaption21"/>
          <w:rFonts w:ascii="Sylfaen" w:eastAsia="Sylfaen" w:hAnsi="Sylfaen"/>
          <w:sz w:val="20"/>
          <w:szCs w:val="20"/>
        </w:rPr>
        <w:t>Указывается справочно и не требует согласования уполномоченными органами государств-членов.</w:t>
      </w:r>
    </w:p>
  </w:footnote>
  <w:footnote w:id="19">
    <w:p w:rsidR="00EA23D3" w:rsidRPr="00472C5C" w:rsidRDefault="00EA23D3">
      <w:pPr>
        <w:pStyle w:val="FootnoteText"/>
      </w:pPr>
      <w:r w:rsidRPr="006726B2">
        <w:rPr>
          <w:rStyle w:val="FootnoteReference"/>
          <w:vertAlign w:val="baseline"/>
        </w:rPr>
        <w:t>**</w:t>
      </w:r>
      <w:r>
        <w:t xml:space="preserve"> Не указывается государство-член, которое представляет настоящий баланс.</w:t>
      </w:r>
    </w:p>
  </w:footnote>
  <w:footnote w:id="20">
    <w:p w:rsidR="00EA23D3" w:rsidRPr="00580AF2" w:rsidRDefault="00EA23D3">
      <w:pPr>
        <w:pStyle w:val="FootnoteText"/>
      </w:pPr>
      <w:r w:rsidRPr="000E4BF8">
        <w:rPr>
          <w:rStyle w:val="FootnoteReference"/>
          <w:vertAlign w:val="baseline"/>
        </w:rPr>
        <w:t>*</w:t>
      </w:r>
      <w:r>
        <w:t xml:space="preserve"> </w:t>
      </w:r>
      <w:r w:rsidRPr="00580AF2">
        <w:rPr>
          <w:rStyle w:val="Tablecaption21"/>
          <w:rFonts w:ascii="Sylfaen" w:eastAsia="Sylfaen" w:hAnsi="Sylfaen"/>
          <w:sz w:val="20"/>
          <w:szCs w:val="20"/>
        </w:rPr>
        <w:t>Заполняется</w:t>
      </w:r>
      <w:r w:rsidRPr="00580AF2">
        <w:rPr>
          <w:rStyle w:val="Tablecaption21"/>
          <w:rFonts w:ascii="Sylfaen" w:eastAsia="Sylfaen" w:hAnsi="Sylfaen"/>
          <w:sz w:val="20"/>
          <w:szCs w:val="20"/>
          <w:lang w:eastAsia="en-US" w:bidi="en-US"/>
        </w:rPr>
        <w:t xml:space="preserve"> </w:t>
      </w:r>
      <w:r w:rsidRPr="00580AF2">
        <w:rPr>
          <w:rStyle w:val="Tablecaption21"/>
          <w:rFonts w:ascii="Sylfaen" w:eastAsia="Sylfaen" w:hAnsi="Sylfaen"/>
          <w:sz w:val="20"/>
          <w:szCs w:val="20"/>
        </w:rPr>
        <w:t>Комиссией на основе статистических данных, представленных</w:t>
      </w:r>
      <w:r w:rsidRPr="00580AF2">
        <w:rPr>
          <w:rStyle w:val="Tablecaption21"/>
          <w:rFonts w:ascii="Sylfaen" w:eastAsia="Sylfaen" w:hAnsi="Sylfaen"/>
          <w:sz w:val="20"/>
          <w:szCs w:val="20"/>
          <w:lang w:eastAsia="en-US" w:bidi="en-US"/>
        </w:rPr>
        <w:t xml:space="preserve"> </w:t>
      </w:r>
      <w:r w:rsidRPr="00580AF2">
        <w:rPr>
          <w:rStyle w:val="Tablecaption21"/>
          <w:rFonts w:ascii="Sylfaen" w:eastAsia="Sylfaen" w:hAnsi="Sylfaen"/>
          <w:sz w:val="20"/>
          <w:szCs w:val="20"/>
        </w:rPr>
        <w:t>государствами-членами</w:t>
      </w:r>
    </w:p>
  </w:footnote>
  <w:footnote w:id="21">
    <w:p w:rsidR="00EA23D3" w:rsidRPr="00580AF2" w:rsidRDefault="00EA23D3" w:rsidP="00580AF2">
      <w:pPr>
        <w:pStyle w:val="Headerorfooter110"/>
        <w:shd w:val="clear" w:color="auto" w:fill="auto"/>
        <w:spacing w:line="240" w:lineRule="auto"/>
        <w:rPr>
          <w:rFonts w:ascii="Sylfaen" w:hAnsi="Sylfaen"/>
          <w:sz w:val="20"/>
          <w:szCs w:val="20"/>
        </w:rPr>
      </w:pPr>
      <w:r w:rsidRPr="000E4BF8">
        <w:rPr>
          <w:rStyle w:val="FootnoteReference"/>
          <w:rFonts w:ascii="Sylfaen" w:hAnsi="Sylfaen"/>
          <w:sz w:val="20"/>
          <w:szCs w:val="20"/>
          <w:vertAlign w:val="baseline"/>
        </w:rPr>
        <w:t>**</w:t>
      </w:r>
      <w:r w:rsidRPr="00580AF2">
        <w:rPr>
          <w:rFonts w:ascii="Sylfaen" w:hAnsi="Sylfaen"/>
          <w:sz w:val="20"/>
          <w:szCs w:val="20"/>
        </w:rPr>
        <w:t xml:space="preserve"> Указывается справочно и не требует согласования уполномоченными органами государств-членов</w:t>
      </w:r>
    </w:p>
  </w:footnote>
  <w:footnote w:id="22">
    <w:p w:rsidR="00EA23D3" w:rsidRPr="00FC57A7" w:rsidRDefault="00EA23D3" w:rsidP="00FC57A7">
      <w:pPr>
        <w:pStyle w:val="Tablecaption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0E4BF8">
        <w:rPr>
          <w:rStyle w:val="FootnoteReference"/>
          <w:rFonts w:ascii="Sylfaen" w:hAnsi="Sylfaen"/>
        </w:rPr>
        <w:t>*</w:t>
      </w:r>
      <w:r>
        <w:t xml:space="preserve"> </w:t>
      </w:r>
      <w:r w:rsidRPr="00FC57A7">
        <w:rPr>
          <w:rStyle w:val="Tablecaption21"/>
          <w:rFonts w:ascii="Sylfaen" w:hAnsi="Sylfaen"/>
          <w:sz w:val="20"/>
          <w:szCs w:val="20"/>
        </w:rPr>
        <w:t>Указывается справочно и не требует согласования уполномоченными органами государств-членов.</w:t>
      </w:r>
    </w:p>
  </w:footnote>
  <w:footnote w:id="23">
    <w:p w:rsidR="00EA23D3" w:rsidRPr="00FC57A7" w:rsidRDefault="00EA23D3">
      <w:pPr>
        <w:pStyle w:val="FootnoteText"/>
      </w:pPr>
      <w:r w:rsidRPr="000E4BF8">
        <w:rPr>
          <w:rStyle w:val="FootnoteReference"/>
          <w:vertAlign w:val="baseline"/>
        </w:rPr>
        <w:t>**</w:t>
      </w:r>
      <w:r>
        <w:t xml:space="preserve"> </w:t>
      </w:r>
      <w:r w:rsidRPr="00FC57A7">
        <w:t>Не указывается государство-член, которое представляет настоящий баланс.</w:t>
      </w:r>
    </w:p>
  </w:footnote>
  <w:footnote w:id="24">
    <w:p w:rsidR="00EA23D3" w:rsidRPr="006D5A89" w:rsidRDefault="00EA23D3">
      <w:pPr>
        <w:pStyle w:val="FootnoteText"/>
      </w:pPr>
      <w:r w:rsidRPr="000E4BF8">
        <w:rPr>
          <w:rStyle w:val="FootnoteReference"/>
          <w:vertAlign w:val="baseline"/>
        </w:rPr>
        <w:t>*</w:t>
      </w:r>
      <w:r w:rsidRPr="006D5A89">
        <w:t xml:space="preserve"> </w:t>
      </w:r>
      <w:r w:rsidRPr="006D5A89">
        <w:rPr>
          <w:rStyle w:val="Tablecaption21"/>
          <w:rFonts w:ascii="Sylfaen" w:eastAsia="Sylfaen" w:hAnsi="Sylfaen"/>
          <w:sz w:val="20"/>
          <w:szCs w:val="20"/>
        </w:rPr>
        <w:t>Заполняется</w:t>
      </w:r>
      <w:r w:rsidRPr="006D5A89">
        <w:rPr>
          <w:rStyle w:val="Tablecaption21"/>
          <w:rFonts w:ascii="Sylfaen" w:eastAsia="Sylfaen" w:hAnsi="Sylfaen"/>
          <w:sz w:val="20"/>
          <w:szCs w:val="20"/>
          <w:lang w:eastAsia="en-US" w:bidi="en-US"/>
        </w:rPr>
        <w:t xml:space="preserve"> </w:t>
      </w:r>
      <w:r w:rsidRPr="006D5A89">
        <w:rPr>
          <w:rStyle w:val="Tablecaption21"/>
          <w:rFonts w:ascii="Sylfaen" w:eastAsia="Sylfaen" w:hAnsi="Sylfaen"/>
          <w:sz w:val="20"/>
          <w:szCs w:val="20"/>
        </w:rPr>
        <w:t>Комиссией на основе</w:t>
      </w:r>
      <w:r w:rsidRPr="006D5A89">
        <w:rPr>
          <w:rStyle w:val="Tablecaption21"/>
          <w:rFonts w:ascii="Sylfaen" w:eastAsia="Sylfaen" w:hAnsi="Sylfaen"/>
          <w:sz w:val="20"/>
          <w:szCs w:val="20"/>
          <w:lang w:eastAsia="en-US" w:bidi="en-US"/>
        </w:rPr>
        <w:t xml:space="preserve"> </w:t>
      </w:r>
      <w:r w:rsidRPr="006D5A89">
        <w:rPr>
          <w:rStyle w:val="Tablecaption21"/>
          <w:rFonts w:ascii="Sylfaen" w:eastAsia="Sylfaen" w:hAnsi="Sylfaen"/>
          <w:sz w:val="20"/>
          <w:szCs w:val="20"/>
        </w:rPr>
        <w:t>статистических данных, представленных</w:t>
      </w:r>
      <w:r w:rsidRPr="006D5A89">
        <w:rPr>
          <w:rStyle w:val="Tablecaption21"/>
          <w:rFonts w:ascii="Sylfaen" w:eastAsia="Sylfaen" w:hAnsi="Sylfaen"/>
          <w:sz w:val="20"/>
          <w:szCs w:val="20"/>
          <w:lang w:eastAsia="en-US" w:bidi="en-US"/>
        </w:rPr>
        <w:t xml:space="preserve"> </w:t>
      </w:r>
      <w:r w:rsidRPr="006D5A89">
        <w:rPr>
          <w:rStyle w:val="Tablecaption21"/>
          <w:rFonts w:ascii="Sylfaen" w:eastAsia="Sylfaen" w:hAnsi="Sylfaen"/>
          <w:sz w:val="20"/>
          <w:szCs w:val="20"/>
        </w:rPr>
        <w:t>государствами-членами.</w:t>
      </w:r>
    </w:p>
  </w:footnote>
  <w:footnote w:id="25">
    <w:p w:rsidR="00EA23D3" w:rsidRPr="00196E5B" w:rsidRDefault="00EA23D3" w:rsidP="00196E5B">
      <w:pPr>
        <w:pStyle w:val="Headerorfooter110"/>
        <w:shd w:val="clear" w:color="auto" w:fill="auto"/>
        <w:spacing w:line="240" w:lineRule="auto"/>
      </w:pPr>
      <w:r w:rsidRPr="000E4BF8">
        <w:rPr>
          <w:rStyle w:val="FootnoteReference"/>
          <w:rFonts w:ascii="Sylfaen" w:hAnsi="Sylfaen"/>
          <w:sz w:val="20"/>
          <w:szCs w:val="20"/>
          <w:vertAlign w:val="baseline"/>
        </w:rPr>
        <w:t>**</w:t>
      </w:r>
      <w:r>
        <w:t xml:space="preserve"> Указывается справочно и не требует согласования уполномоченными органами</w:t>
      </w:r>
      <w:r w:rsidRPr="00196E5B">
        <w:t xml:space="preserve"> </w:t>
      </w:r>
      <w:r>
        <w:t>государств-членов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7CD7"/>
    <w:multiLevelType w:val="multilevel"/>
    <w:tmpl w:val="1F008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A54122"/>
    <w:multiLevelType w:val="multilevel"/>
    <w:tmpl w:val="DD44F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D6271D"/>
    <w:multiLevelType w:val="multilevel"/>
    <w:tmpl w:val="64D0ED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15A98"/>
    <w:multiLevelType w:val="multilevel"/>
    <w:tmpl w:val="94249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447932"/>
    <w:multiLevelType w:val="multilevel"/>
    <w:tmpl w:val="79285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F7541"/>
    <w:rsid w:val="000051E4"/>
    <w:rsid w:val="0000785D"/>
    <w:rsid w:val="0001502B"/>
    <w:rsid w:val="00020845"/>
    <w:rsid w:val="000254EB"/>
    <w:rsid w:val="00027273"/>
    <w:rsid w:val="00032C3F"/>
    <w:rsid w:val="00034572"/>
    <w:rsid w:val="000522CE"/>
    <w:rsid w:val="0005290B"/>
    <w:rsid w:val="000546A4"/>
    <w:rsid w:val="00057D46"/>
    <w:rsid w:val="000673E1"/>
    <w:rsid w:val="00067856"/>
    <w:rsid w:val="000712FB"/>
    <w:rsid w:val="00073832"/>
    <w:rsid w:val="000811D3"/>
    <w:rsid w:val="000814B5"/>
    <w:rsid w:val="00085728"/>
    <w:rsid w:val="000863C1"/>
    <w:rsid w:val="000873F4"/>
    <w:rsid w:val="00090FC4"/>
    <w:rsid w:val="00093AC3"/>
    <w:rsid w:val="000948B3"/>
    <w:rsid w:val="000A419C"/>
    <w:rsid w:val="000E0FF2"/>
    <w:rsid w:val="000E4BF8"/>
    <w:rsid w:val="000E5341"/>
    <w:rsid w:val="00107F5A"/>
    <w:rsid w:val="00116843"/>
    <w:rsid w:val="00122DCA"/>
    <w:rsid w:val="00126021"/>
    <w:rsid w:val="00131DD8"/>
    <w:rsid w:val="00164153"/>
    <w:rsid w:val="00180BCC"/>
    <w:rsid w:val="00182DBC"/>
    <w:rsid w:val="00182E3D"/>
    <w:rsid w:val="00194DC4"/>
    <w:rsid w:val="00194F54"/>
    <w:rsid w:val="00195DF9"/>
    <w:rsid w:val="00196E5B"/>
    <w:rsid w:val="001A3F4E"/>
    <w:rsid w:val="001B0A04"/>
    <w:rsid w:val="001B4B1B"/>
    <w:rsid w:val="001B7EC2"/>
    <w:rsid w:val="001C548A"/>
    <w:rsid w:val="001C6AE4"/>
    <w:rsid w:val="001C6E82"/>
    <w:rsid w:val="001D5CCF"/>
    <w:rsid w:val="0020668C"/>
    <w:rsid w:val="00211AE2"/>
    <w:rsid w:val="002206C5"/>
    <w:rsid w:val="00222986"/>
    <w:rsid w:val="00231C2D"/>
    <w:rsid w:val="002336EE"/>
    <w:rsid w:val="00233886"/>
    <w:rsid w:val="002422EB"/>
    <w:rsid w:val="0025310B"/>
    <w:rsid w:val="002573AB"/>
    <w:rsid w:val="002656A5"/>
    <w:rsid w:val="00270CE5"/>
    <w:rsid w:val="00284EB5"/>
    <w:rsid w:val="0028523A"/>
    <w:rsid w:val="00285570"/>
    <w:rsid w:val="002865B4"/>
    <w:rsid w:val="002900B0"/>
    <w:rsid w:val="00291FF8"/>
    <w:rsid w:val="002C10A5"/>
    <w:rsid w:val="002C23D3"/>
    <w:rsid w:val="002C3967"/>
    <w:rsid w:val="002C5B66"/>
    <w:rsid w:val="002C6545"/>
    <w:rsid w:val="002C721E"/>
    <w:rsid w:val="0030191C"/>
    <w:rsid w:val="00303664"/>
    <w:rsid w:val="003044E9"/>
    <w:rsid w:val="00317EBC"/>
    <w:rsid w:val="00335976"/>
    <w:rsid w:val="003371E1"/>
    <w:rsid w:val="003508F7"/>
    <w:rsid w:val="0036008F"/>
    <w:rsid w:val="003610DF"/>
    <w:rsid w:val="00365721"/>
    <w:rsid w:val="003914A4"/>
    <w:rsid w:val="00392634"/>
    <w:rsid w:val="00396849"/>
    <w:rsid w:val="003A27CD"/>
    <w:rsid w:val="003A79BA"/>
    <w:rsid w:val="003C6E57"/>
    <w:rsid w:val="003D731B"/>
    <w:rsid w:val="003F5FB9"/>
    <w:rsid w:val="003F67D0"/>
    <w:rsid w:val="003F6AE5"/>
    <w:rsid w:val="004012DD"/>
    <w:rsid w:val="0040143B"/>
    <w:rsid w:val="0040289A"/>
    <w:rsid w:val="004112D2"/>
    <w:rsid w:val="0041678C"/>
    <w:rsid w:val="00420680"/>
    <w:rsid w:val="00452758"/>
    <w:rsid w:val="004559DF"/>
    <w:rsid w:val="00462D03"/>
    <w:rsid w:val="00472C5C"/>
    <w:rsid w:val="00475734"/>
    <w:rsid w:val="004954CA"/>
    <w:rsid w:val="004A24B1"/>
    <w:rsid w:val="004A6236"/>
    <w:rsid w:val="004B2DB7"/>
    <w:rsid w:val="004C3351"/>
    <w:rsid w:val="004D1E86"/>
    <w:rsid w:val="004D553B"/>
    <w:rsid w:val="004D5FF0"/>
    <w:rsid w:val="004E2F7F"/>
    <w:rsid w:val="005013A5"/>
    <w:rsid w:val="0050185B"/>
    <w:rsid w:val="005128B2"/>
    <w:rsid w:val="00513C3A"/>
    <w:rsid w:val="0051796D"/>
    <w:rsid w:val="0052078A"/>
    <w:rsid w:val="00522EFE"/>
    <w:rsid w:val="00527B2D"/>
    <w:rsid w:val="00527BBE"/>
    <w:rsid w:val="00534011"/>
    <w:rsid w:val="005414D6"/>
    <w:rsid w:val="005425A3"/>
    <w:rsid w:val="00551620"/>
    <w:rsid w:val="005579B0"/>
    <w:rsid w:val="005617AE"/>
    <w:rsid w:val="00562F61"/>
    <w:rsid w:val="005637FB"/>
    <w:rsid w:val="00564456"/>
    <w:rsid w:val="00567A74"/>
    <w:rsid w:val="005750F8"/>
    <w:rsid w:val="005757C3"/>
    <w:rsid w:val="00580AF2"/>
    <w:rsid w:val="0058184D"/>
    <w:rsid w:val="00586196"/>
    <w:rsid w:val="00586E6E"/>
    <w:rsid w:val="00596406"/>
    <w:rsid w:val="00597AF2"/>
    <w:rsid w:val="005A12F1"/>
    <w:rsid w:val="005A43E1"/>
    <w:rsid w:val="005A7A33"/>
    <w:rsid w:val="005D5435"/>
    <w:rsid w:val="005F22C2"/>
    <w:rsid w:val="00606A2B"/>
    <w:rsid w:val="00610BEC"/>
    <w:rsid w:val="00621B1A"/>
    <w:rsid w:val="0063379D"/>
    <w:rsid w:val="00633A2A"/>
    <w:rsid w:val="00634AD3"/>
    <w:rsid w:val="00641957"/>
    <w:rsid w:val="00642404"/>
    <w:rsid w:val="006424F3"/>
    <w:rsid w:val="006512BA"/>
    <w:rsid w:val="00653057"/>
    <w:rsid w:val="00664F04"/>
    <w:rsid w:val="0066720C"/>
    <w:rsid w:val="006726B2"/>
    <w:rsid w:val="00685761"/>
    <w:rsid w:val="006866A7"/>
    <w:rsid w:val="00691479"/>
    <w:rsid w:val="00697D4F"/>
    <w:rsid w:val="00697D78"/>
    <w:rsid w:val="006A476E"/>
    <w:rsid w:val="006A58FA"/>
    <w:rsid w:val="006B13BA"/>
    <w:rsid w:val="006B21D6"/>
    <w:rsid w:val="006C3B1F"/>
    <w:rsid w:val="006C6055"/>
    <w:rsid w:val="006C715B"/>
    <w:rsid w:val="006D529F"/>
    <w:rsid w:val="006D5A89"/>
    <w:rsid w:val="006D69BB"/>
    <w:rsid w:val="006E41F3"/>
    <w:rsid w:val="006F1A63"/>
    <w:rsid w:val="006F65E9"/>
    <w:rsid w:val="006F6FC7"/>
    <w:rsid w:val="006F72FD"/>
    <w:rsid w:val="00714D46"/>
    <w:rsid w:val="00715A80"/>
    <w:rsid w:val="00715D3F"/>
    <w:rsid w:val="007339E3"/>
    <w:rsid w:val="007342A8"/>
    <w:rsid w:val="00743189"/>
    <w:rsid w:val="007432A3"/>
    <w:rsid w:val="00745197"/>
    <w:rsid w:val="007532E2"/>
    <w:rsid w:val="007571FF"/>
    <w:rsid w:val="00773ECE"/>
    <w:rsid w:val="007939F4"/>
    <w:rsid w:val="00794232"/>
    <w:rsid w:val="007A07FF"/>
    <w:rsid w:val="007A1B11"/>
    <w:rsid w:val="007A3A8A"/>
    <w:rsid w:val="007C1CFD"/>
    <w:rsid w:val="007C24EE"/>
    <w:rsid w:val="007C691D"/>
    <w:rsid w:val="007E2DCA"/>
    <w:rsid w:val="007F1D8A"/>
    <w:rsid w:val="007F226D"/>
    <w:rsid w:val="007F46D0"/>
    <w:rsid w:val="0080671B"/>
    <w:rsid w:val="00812307"/>
    <w:rsid w:val="0081285A"/>
    <w:rsid w:val="00816DA8"/>
    <w:rsid w:val="00826FE7"/>
    <w:rsid w:val="00827683"/>
    <w:rsid w:val="00832258"/>
    <w:rsid w:val="00834C1C"/>
    <w:rsid w:val="008352F9"/>
    <w:rsid w:val="008359E1"/>
    <w:rsid w:val="0084025E"/>
    <w:rsid w:val="00841963"/>
    <w:rsid w:val="00841CF8"/>
    <w:rsid w:val="00843F12"/>
    <w:rsid w:val="00852DAB"/>
    <w:rsid w:val="00864184"/>
    <w:rsid w:val="00864586"/>
    <w:rsid w:val="00870B9E"/>
    <w:rsid w:val="00873B34"/>
    <w:rsid w:val="00884A57"/>
    <w:rsid w:val="00895725"/>
    <w:rsid w:val="008B15A5"/>
    <w:rsid w:val="008B1A11"/>
    <w:rsid w:val="008B3823"/>
    <w:rsid w:val="008B7E9A"/>
    <w:rsid w:val="008C0DB4"/>
    <w:rsid w:val="008C677E"/>
    <w:rsid w:val="008C6E75"/>
    <w:rsid w:val="008E69C9"/>
    <w:rsid w:val="00907760"/>
    <w:rsid w:val="00912EA7"/>
    <w:rsid w:val="00924652"/>
    <w:rsid w:val="00926750"/>
    <w:rsid w:val="009307E4"/>
    <w:rsid w:val="00933C71"/>
    <w:rsid w:val="00934A0D"/>
    <w:rsid w:val="00943128"/>
    <w:rsid w:val="009629C8"/>
    <w:rsid w:val="00977978"/>
    <w:rsid w:val="009810CD"/>
    <w:rsid w:val="00995684"/>
    <w:rsid w:val="009A76BF"/>
    <w:rsid w:val="009B5B61"/>
    <w:rsid w:val="009C1BBA"/>
    <w:rsid w:val="009D79AC"/>
    <w:rsid w:val="009E05E9"/>
    <w:rsid w:val="009E067F"/>
    <w:rsid w:val="009E7609"/>
    <w:rsid w:val="009F2C24"/>
    <w:rsid w:val="00A00D97"/>
    <w:rsid w:val="00A02F2D"/>
    <w:rsid w:val="00A076FE"/>
    <w:rsid w:val="00A23EB6"/>
    <w:rsid w:val="00A27FA8"/>
    <w:rsid w:val="00A545AB"/>
    <w:rsid w:val="00A6618C"/>
    <w:rsid w:val="00A721BF"/>
    <w:rsid w:val="00A76DB1"/>
    <w:rsid w:val="00A81287"/>
    <w:rsid w:val="00A8564F"/>
    <w:rsid w:val="00A8566C"/>
    <w:rsid w:val="00A91035"/>
    <w:rsid w:val="00A9736C"/>
    <w:rsid w:val="00AB0ADC"/>
    <w:rsid w:val="00AB2C86"/>
    <w:rsid w:val="00AB4F33"/>
    <w:rsid w:val="00AB7475"/>
    <w:rsid w:val="00AC033A"/>
    <w:rsid w:val="00AC060F"/>
    <w:rsid w:val="00AD6A5F"/>
    <w:rsid w:val="00AE127F"/>
    <w:rsid w:val="00AE7629"/>
    <w:rsid w:val="00AF2B59"/>
    <w:rsid w:val="00AF5576"/>
    <w:rsid w:val="00AF5D57"/>
    <w:rsid w:val="00AF6E70"/>
    <w:rsid w:val="00B059A9"/>
    <w:rsid w:val="00B125F8"/>
    <w:rsid w:val="00B17155"/>
    <w:rsid w:val="00B201BF"/>
    <w:rsid w:val="00B23C89"/>
    <w:rsid w:val="00B3687E"/>
    <w:rsid w:val="00B44331"/>
    <w:rsid w:val="00B4680D"/>
    <w:rsid w:val="00B547F6"/>
    <w:rsid w:val="00B707EE"/>
    <w:rsid w:val="00B85CB2"/>
    <w:rsid w:val="00B87B0F"/>
    <w:rsid w:val="00B94CF2"/>
    <w:rsid w:val="00B967F9"/>
    <w:rsid w:val="00BA35AF"/>
    <w:rsid w:val="00BB4CE4"/>
    <w:rsid w:val="00BB6AD9"/>
    <w:rsid w:val="00BC74D3"/>
    <w:rsid w:val="00BD0395"/>
    <w:rsid w:val="00BD4686"/>
    <w:rsid w:val="00BD668F"/>
    <w:rsid w:val="00C05889"/>
    <w:rsid w:val="00C13B98"/>
    <w:rsid w:val="00C20805"/>
    <w:rsid w:val="00C2559E"/>
    <w:rsid w:val="00C31050"/>
    <w:rsid w:val="00C34D55"/>
    <w:rsid w:val="00C3616F"/>
    <w:rsid w:val="00C4394E"/>
    <w:rsid w:val="00C45DC9"/>
    <w:rsid w:val="00C4761C"/>
    <w:rsid w:val="00C50A8A"/>
    <w:rsid w:val="00C554AB"/>
    <w:rsid w:val="00C57E51"/>
    <w:rsid w:val="00C607B0"/>
    <w:rsid w:val="00C62A01"/>
    <w:rsid w:val="00C66532"/>
    <w:rsid w:val="00C67D4A"/>
    <w:rsid w:val="00C851CA"/>
    <w:rsid w:val="00C85692"/>
    <w:rsid w:val="00C85696"/>
    <w:rsid w:val="00C9210E"/>
    <w:rsid w:val="00CA544E"/>
    <w:rsid w:val="00CC34AF"/>
    <w:rsid w:val="00CC47AA"/>
    <w:rsid w:val="00CD3ED0"/>
    <w:rsid w:val="00CD6413"/>
    <w:rsid w:val="00CE4771"/>
    <w:rsid w:val="00CF794B"/>
    <w:rsid w:val="00D03D9F"/>
    <w:rsid w:val="00D07861"/>
    <w:rsid w:val="00D17D68"/>
    <w:rsid w:val="00D32446"/>
    <w:rsid w:val="00D34075"/>
    <w:rsid w:val="00D4218D"/>
    <w:rsid w:val="00D55645"/>
    <w:rsid w:val="00D60505"/>
    <w:rsid w:val="00D657E9"/>
    <w:rsid w:val="00D77701"/>
    <w:rsid w:val="00D847FD"/>
    <w:rsid w:val="00D9345D"/>
    <w:rsid w:val="00D9551D"/>
    <w:rsid w:val="00DA52B7"/>
    <w:rsid w:val="00DD076D"/>
    <w:rsid w:val="00DD2D9C"/>
    <w:rsid w:val="00DE256D"/>
    <w:rsid w:val="00DF5CB3"/>
    <w:rsid w:val="00DF7541"/>
    <w:rsid w:val="00E01F9A"/>
    <w:rsid w:val="00E039CC"/>
    <w:rsid w:val="00E03E5A"/>
    <w:rsid w:val="00E07FD7"/>
    <w:rsid w:val="00E154CE"/>
    <w:rsid w:val="00E21EC6"/>
    <w:rsid w:val="00E231D7"/>
    <w:rsid w:val="00E26672"/>
    <w:rsid w:val="00E32071"/>
    <w:rsid w:val="00E44938"/>
    <w:rsid w:val="00E4666A"/>
    <w:rsid w:val="00E475A5"/>
    <w:rsid w:val="00E56B86"/>
    <w:rsid w:val="00E67E41"/>
    <w:rsid w:val="00E81A03"/>
    <w:rsid w:val="00E851EC"/>
    <w:rsid w:val="00E85DC9"/>
    <w:rsid w:val="00E866DB"/>
    <w:rsid w:val="00EA12F2"/>
    <w:rsid w:val="00EA23D3"/>
    <w:rsid w:val="00EB3474"/>
    <w:rsid w:val="00EB4E18"/>
    <w:rsid w:val="00EB5D48"/>
    <w:rsid w:val="00EB61FF"/>
    <w:rsid w:val="00EC711A"/>
    <w:rsid w:val="00EC75A6"/>
    <w:rsid w:val="00EE02DF"/>
    <w:rsid w:val="00EE409B"/>
    <w:rsid w:val="00EF504C"/>
    <w:rsid w:val="00F00AB2"/>
    <w:rsid w:val="00F02D8A"/>
    <w:rsid w:val="00F05903"/>
    <w:rsid w:val="00F06225"/>
    <w:rsid w:val="00F14996"/>
    <w:rsid w:val="00F15DD2"/>
    <w:rsid w:val="00F2123B"/>
    <w:rsid w:val="00F238E6"/>
    <w:rsid w:val="00F279C6"/>
    <w:rsid w:val="00F30C79"/>
    <w:rsid w:val="00F30F4B"/>
    <w:rsid w:val="00F406C2"/>
    <w:rsid w:val="00F41E19"/>
    <w:rsid w:val="00F4323F"/>
    <w:rsid w:val="00F4386A"/>
    <w:rsid w:val="00F458A6"/>
    <w:rsid w:val="00F5389A"/>
    <w:rsid w:val="00F53936"/>
    <w:rsid w:val="00F667D9"/>
    <w:rsid w:val="00F740D9"/>
    <w:rsid w:val="00F84793"/>
    <w:rsid w:val="00F90E24"/>
    <w:rsid w:val="00FA3183"/>
    <w:rsid w:val="00FA70EC"/>
    <w:rsid w:val="00FB0125"/>
    <w:rsid w:val="00FC0D74"/>
    <w:rsid w:val="00FC219E"/>
    <w:rsid w:val="00FC42FC"/>
    <w:rsid w:val="00FC5632"/>
    <w:rsid w:val="00FC57A7"/>
    <w:rsid w:val="00FD4B47"/>
    <w:rsid w:val="00FD5920"/>
    <w:rsid w:val="00FE5E39"/>
    <w:rsid w:val="00FE6250"/>
    <w:rsid w:val="00FF2AB6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754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7541"/>
    <w:rPr>
      <w:color w:val="0066CC"/>
      <w:u w:val="single"/>
    </w:rPr>
  </w:style>
  <w:style w:type="character" w:customStyle="1" w:styleId="Footnote2">
    <w:name w:val="Footnote (2)_"/>
    <w:basedOn w:val="DefaultParagraphFont"/>
    <w:link w:val="Footnote20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3">
    <w:name w:val="Footnote (3)_"/>
    <w:basedOn w:val="DefaultParagraphFont"/>
    <w:link w:val="Footnote30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F754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3">
    <w:name w:val="Table caption (3)_"/>
    <w:basedOn w:val="DefaultParagraphFont"/>
    <w:link w:val="Tablecaption30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mallCaps">
    <w:name w:val="Table caption (3) + Small Caps"/>
    <w:aliases w:val="Spacing 4 pt"/>
    <w:basedOn w:val="Tablecaption3"/>
    <w:rsid w:val="00DF754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3Spacing4pt">
    <w:name w:val="Table caption (3) + Spacing 4 pt"/>
    <w:basedOn w:val="Tablecaption3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0">
    <w:name w:val="Body text (10)_"/>
    <w:basedOn w:val="DefaultParagraphFont"/>
    <w:link w:val="Bodytext100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0">
    <w:name w:val="Body text (2) + 14 pt"/>
    <w:aliases w:val="Bold"/>
    <w:basedOn w:val="Bodytext2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9">
    <w:name w:val="Body text (9)_"/>
    <w:basedOn w:val="DefaultParagraphFont"/>
    <w:link w:val="Bodytext90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1">
    <w:name w:val="Body text (9)"/>
    <w:basedOn w:val="Bodytext9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ablecaption21">
    <w:name w:val="Table caption (2)"/>
    <w:basedOn w:val="Tablecaption2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11">
    <w:name w:val="Header or footer (11)_"/>
    <w:basedOn w:val="DefaultParagraphFont"/>
    <w:link w:val="Headerorfooter110"/>
    <w:rsid w:val="00DF7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Footnote20">
    <w:name w:val="Footnote (2)"/>
    <w:basedOn w:val="Normal"/>
    <w:link w:val="Footnote2"/>
    <w:rsid w:val="00DF75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Footnote30">
    <w:name w:val="Footnote (3)"/>
    <w:basedOn w:val="Normal"/>
    <w:link w:val="Footnote3"/>
    <w:rsid w:val="00DF75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DF754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F754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30">
    <w:name w:val="Table caption (3)"/>
    <w:basedOn w:val="Normal"/>
    <w:link w:val="Tablecaption3"/>
    <w:rsid w:val="00DF75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F7541"/>
    <w:pPr>
      <w:shd w:val="clear" w:color="auto" w:fill="FFFFFF"/>
      <w:spacing w:line="0" w:lineRule="atLeast"/>
      <w:ind w:hanging="9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00">
    <w:name w:val="Body text (10)"/>
    <w:basedOn w:val="Normal"/>
    <w:link w:val="Bodytext10"/>
    <w:rsid w:val="00DF7541"/>
    <w:pPr>
      <w:shd w:val="clear" w:color="auto" w:fill="FFFFFF"/>
      <w:spacing w:before="9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DF75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90">
    <w:name w:val="Body text (9)"/>
    <w:basedOn w:val="Normal"/>
    <w:link w:val="Bodytext9"/>
    <w:rsid w:val="00DF7541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Normal"/>
    <w:link w:val="Bodytext7"/>
    <w:rsid w:val="00DF7541"/>
    <w:pPr>
      <w:shd w:val="clear" w:color="auto" w:fill="FFFFFF"/>
      <w:spacing w:before="60" w:line="277" w:lineRule="exact"/>
      <w:ind w:hanging="320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DF7541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110">
    <w:name w:val="Header or footer (11)"/>
    <w:basedOn w:val="Normal"/>
    <w:link w:val="Headerorfooter11"/>
    <w:rsid w:val="00DF7541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CF79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794B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794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415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153"/>
    <w:rPr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415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20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680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420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68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4AEAB-0CF5-4EB6-A34C-F9F9DCFA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54</Pages>
  <Words>7828</Words>
  <Characters>44625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19</cp:revision>
  <dcterms:created xsi:type="dcterms:W3CDTF">2015-10-12T12:39:00Z</dcterms:created>
  <dcterms:modified xsi:type="dcterms:W3CDTF">2016-05-19T08:45:00Z</dcterms:modified>
</cp:coreProperties>
</file>