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9D" w:rsidRPr="00CB405A" w:rsidRDefault="008E4031" w:rsidP="00BD1230">
      <w:pPr>
        <w:pStyle w:val="Bodytext40"/>
        <w:shd w:val="clear" w:color="auto" w:fill="auto"/>
        <w:spacing w:before="0" w:after="160" w:line="360" w:lineRule="auto"/>
        <w:ind w:left="8505" w:right="-30"/>
        <w:jc w:val="center"/>
        <w:rPr>
          <w:rFonts w:ascii="GHEA Grapalat" w:hAnsi="GHEA Grapalat"/>
          <w:sz w:val="24"/>
          <w:szCs w:val="24"/>
        </w:rPr>
      </w:pPr>
      <w:r w:rsidRPr="00CB405A">
        <w:rPr>
          <w:rFonts w:ascii="GHEA Grapalat" w:hAnsi="GHEA Grapalat"/>
          <w:sz w:val="24"/>
          <w:szCs w:val="24"/>
        </w:rPr>
        <w:t>ՀԱՍՏԱՏՎԱԾ Է</w:t>
      </w:r>
    </w:p>
    <w:p w:rsidR="005866FA" w:rsidRPr="00CB405A" w:rsidRDefault="008E4031" w:rsidP="00BD1230">
      <w:pPr>
        <w:pStyle w:val="Bodytext40"/>
        <w:shd w:val="clear" w:color="auto" w:fill="auto"/>
        <w:spacing w:before="0" w:after="160" w:line="360" w:lineRule="auto"/>
        <w:ind w:left="8505" w:right="-30"/>
        <w:jc w:val="center"/>
        <w:rPr>
          <w:rFonts w:ascii="GHEA Grapalat" w:hAnsi="GHEA Grapalat"/>
          <w:sz w:val="24"/>
          <w:szCs w:val="24"/>
        </w:rPr>
      </w:pPr>
      <w:r w:rsidRPr="00CB405A">
        <w:rPr>
          <w:rFonts w:ascii="GHEA Grapalat" w:hAnsi="GHEA Grapalat"/>
          <w:sz w:val="24"/>
          <w:szCs w:val="24"/>
        </w:rPr>
        <w:t>Եվրասիական տնտեսական հանձնաժողովի խորհրդի</w:t>
      </w:r>
      <w:r w:rsidR="00BD1230" w:rsidRPr="00CB405A">
        <w:rPr>
          <w:rFonts w:ascii="GHEA Grapalat" w:hAnsi="GHEA Grapalat"/>
          <w:sz w:val="24"/>
          <w:szCs w:val="24"/>
        </w:rPr>
        <w:t xml:space="preserve"> </w:t>
      </w:r>
      <w:r w:rsidRPr="00CB405A">
        <w:rPr>
          <w:rFonts w:ascii="GHEA Grapalat" w:hAnsi="GHEA Grapalat"/>
          <w:sz w:val="24"/>
          <w:szCs w:val="24"/>
        </w:rPr>
        <w:t xml:space="preserve">2015 թվականի </w:t>
      </w:r>
      <w:r w:rsidR="00BD1230" w:rsidRPr="00CB405A">
        <w:rPr>
          <w:rFonts w:ascii="GHEA Grapalat" w:hAnsi="GHEA Grapalat"/>
          <w:sz w:val="24"/>
          <w:szCs w:val="24"/>
        </w:rPr>
        <w:br/>
      </w:r>
      <w:r w:rsidRPr="00CB405A">
        <w:rPr>
          <w:rFonts w:ascii="GHEA Grapalat" w:hAnsi="GHEA Grapalat"/>
          <w:sz w:val="24"/>
          <w:szCs w:val="24"/>
        </w:rPr>
        <w:t>փետրվարի 4-ի թիվ 4 որոշմամբ</w:t>
      </w:r>
      <w:bookmarkStart w:id="0" w:name="_GoBack"/>
      <w:bookmarkEnd w:id="0"/>
    </w:p>
    <w:p w:rsidR="00F6789D" w:rsidRPr="00CB405A" w:rsidRDefault="00F6789D" w:rsidP="00BD1230">
      <w:pPr>
        <w:pStyle w:val="Bodytext40"/>
        <w:shd w:val="clear" w:color="auto" w:fill="auto"/>
        <w:spacing w:before="0" w:after="160" w:line="360" w:lineRule="auto"/>
        <w:ind w:left="10206" w:right="-30"/>
        <w:jc w:val="center"/>
        <w:rPr>
          <w:rFonts w:ascii="GHEA Grapalat" w:hAnsi="GHEA Grapalat"/>
          <w:sz w:val="24"/>
          <w:szCs w:val="24"/>
        </w:rPr>
      </w:pPr>
    </w:p>
    <w:p w:rsidR="005866FA" w:rsidRPr="00CB405A" w:rsidRDefault="008E4031" w:rsidP="00BD1230">
      <w:pPr>
        <w:pStyle w:val="Bodytext30"/>
        <w:shd w:val="clear" w:color="auto" w:fill="auto"/>
        <w:spacing w:after="160" w:line="360" w:lineRule="auto"/>
        <w:ind w:right="-30"/>
        <w:rPr>
          <w:rFonts w:ascii="GHEA Grapalat" w:hAnsi="GHEA Grapalat"/>
          <w:sz w:val="24"/>
          <w:szCs w:val="24"/>
        </w:rPr>
      </w:pPr>
      <w:r w:rsidRPr="00CB405A">
        <w:rPr>
          <w:rStyle w:val="Bodytext3Spacing2pt"/>
          <w:rFonts w:ascii="GHEA Grapalat" w:hAnsi="GHEA Grapalat"/>
          <w:b/>
          <w:spacing w:val="0"/>
          <w:sz w:val="24"/>
          <w:szCs w:val="24"/>
        </w:rPr>
        <w:t>2015 ԹՎԱԿԱՆԻ ՄԱՆՐԱՄԱՍՆԵՑՎԱԾ</w:t>
      </w:r>
      <w:r w:rsidRPr="00CB405A">
        <w:rPr>
          <w:rFonts w:ascii="GHEA Grapalat" w:hAnsi="GHEA Grapalat"/>
          <w:sz w:val="24"/>
          <w:szCs w:val="24"/>
        </w:rPr>
        <w:t xml:space="preserve"> </w:t>
      </w:r>
      <w:r w:rsidR="00645412" w:rsidRPr="00CB405A">
        <w:rPr>
          <w:rFonts w:ascii="GHEA Grapalat" w:hAnsi="GHEA Grapalat"/>
          <w:sz w:val="24"/>
          <w:szCs w:val="24"/>
        </w:rPr>
        <w:t>ՊԼԱՆ</w:t>
      </w:r>
    </w:p>
    <w:p w:rsidR="005866FA" w:rsidRPr="00CB405A" w:rsidRDefault="008E4031" w:rsidP="00BD1230">
      <w:pPr>
        <w:pStyle w:val="Bodytext30"/>
        <w:shd w:val="clear" w:color="auto" w:fill="auto"/>
        <w:spacing w:after="160" w:line="360" w:lineRule="auto"/>
        <w:ind w:right="-30"/>
        <w:rPr>
          <w:rFonts w:ascii="GHEA Grapalat" w:hAnsi="GHEA Grapalat"/>
          <w:sz w:val="24"/>
          <w:szCs w:val="24"/>
        </w:rPr>
      </w:pPr>
      <w:r w:rsidRPr="00CB405A">
        <w:rPr>
          <w:rFonts w:ascii="GHEA Grapalat" w:hAnsi="GHEA Grapalat"/>
          <w:sz w:val="24"/>
          <w:szCs w:val="24"/>
        </w:rPr>
        <w:t xml:space="preserve">Արտաքին տնտեսական գործունեության կարգավորման համակարգում «մեկ պատուհանի» մեխանիզմի զարգացման հիմնական ուղղությունների իրագործման միջոցառումների </w:t>
      </w:r>
      <w:r w:rsidR="000F1784" w:rsidRPr="00CB405A">
        <w:rPr>
          <w:rFonts w:ascii="GHEA Grapalat" w:hAnsi="GHEA Grapalat"/>
          <w:sz w:val="24"/>
          <w:szCs w:val="24"/>
        </w:rPr>
        <w:t>պլանի կատարման</w:t>
      </w:r>
    </w:p>
    <w:p w:rsidR="00F6789D" w:rsidRPr="00CB405A" w:rsidRDefault="00F6789D" w:rsidP="00204374">
      <w:pPr>
        <w:pStyle w:val="Bodytext30"/>
        <w:shd w:val="clear" w:color="auto" w:fill="auto"/>
        <w:spacing w:after="0" w:line="240" w:lineRule="auto"/>
        <w:ind w:left="140"/>
        <w:rPr>
          <w:rFonts w:ascii="GHEA Grapalat" w:hAnsi="GHEA Grapalat"/>
          <w:sz w:val="24"/>
          <w:szCs w:val="24"/>
        </w:rPr>
      </w:pPr>
    </w:p>
    <w:tbl>
      <w:tblPr>
        <w:tblOverlap w:val="never"/>
        <w:tblW w:w="15351" w:type="dxa"/>
        <w:jc w:val="center"/>
        <w:tblLayout w:type="fixed"/>
        <w:tblCellMar>
          <w:left w:w="10" w:type="dxa"/>
          <w:right w:w="10" w:type="dxa"/>
        </w:tblCellMar>
        <w:tblLook w:val="0000" w:firstRow="0" w:lastRow="0" w:firstColumn="0" w:lastColumn="0" w:noHBand="0" w:noVBand="0"/>
      </w:tblPr>
      <w:tblGrid>
        <w:gridCol w:w="6256"/>
        <w:gridCol w:w="2515"/>
        <w:gridCol w:w="3118"/>
        <w:gridCol w:w="3462"/>
      </w:tblGrid>
      <w:tr w:rsidR="005866FA" w:rsidRPr="00CB405A" w:rsidTr="000837C4">
        <w:trPr>
          <w:tblHeader/>
          <w:jc w:val="center"/>
        </w:trPr>
        <w:tc>
          <w:tcPr>
            <w:tcW w:w="6256"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Միջոցառման անվանումը</w:t>
            </w:r>
          </w:p>
        </w:tc>
        <w:tc>
          <w:tcPr>
            <w:tcW w:w="2515"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ind w:left="217" w:right="190"/>
              <w:jc w:val="center"/>
              <w:rPr>
                <w:rFonts w:ascii="GHEA Grapalat" w:hAnsi="GHEA Grapalat"/>
                <w:sz w:val="24"/>
                <w:szCs w:val="24"/>
              </w:rPr>
            </w:pPr>
            <w:r w:rsidRPr="00CB405A">
              <w:rPr>
                <w:rStyle w:val="Bodytext215pt"/>
                <w:rFonts w:ascii="GHEA Grapalat" w:hAnsi="GHEA Grapalat"/>
                <w:sz w:val="24"/>
                <w:szCs w:val="24"/>
              </w:rPr>
              <w:t>Կատարման ժամկետը</w:t>
            </w:r>
          </w:p>
        </w:tc>
        <w:tc>
          <w:tcPr>
            <w:tcW w:w="3118"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ind w:left="217" w:right="190"/>
              <w:jc w:val="center"/>
              <w:rPr>
                <w:rFonts w:ascii="GHEA Grapalat" w:hAnsi="GHEA Grapalat"/>
                <w:sz w:val="24"/>
                <w:szCs w:val="24"/>
              </w:rPr>
            </w:pPr>
            <w:r w:rsidRPr="00CB405A">
              <w:rPr>
                <w:rStyle w:val="Bodytext215pt"/>
                <w:rFonts w:ascii="GHEA Grapalat" w:hAnsi="GHEA Grapalat"/>
                <w:sz w:val="24"/>
                <w:szCs w:val="24"/>
              </w:rPr>
              <w:t>Պատասխանատու կատարող</w:t>
            </w:r>
            <w:r w:rsidR="006D7E61" w:rsidRPr="00CB405A">
              <w:rPr>
                <w:rStyle w:val="Bodytext215pt"/>
                <w:rFonts w:ascii="GHEA Grapalat" w:hAnsi="GHEA Grapalat"/>
                <w:sz w:val="24"/>
                <w:szCs w:val="24"/>
              </w:rPr>
              <w:t>ը</w:t>
            </w:r>
          </w:p>
        </w:tc>
        <w:tc>
          <w:tcPr>
            <w:tcW w:w="3462" w:type="dxa"/>
            <w:tcBorders>
              <w:top w:val="single" w:sz="4" w:space="0" w:color="auto"/>
              <w:left w:val="single" w:sz="4" w:space="0" w:color="auto"/>
              <w:righ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ind w:left="357" w:right="349"/>
              <w:jc w:val="center"/>
              <w:rPr>
                <w:rFonts w:ascii="GHEA Grapalat" w:hAnsi="GHEA Grapalat"/>
                <w:sz w:val="24"/>
                <w:szCs w:val="24"/>
              </w:rPr>
            </w:pPr>
            <w:r w:rsidRPr="00CB405A">
              <w:rPr>
                <w:rStyle w:val="Bodytext215pt"/>
                <w:rFonts w:ascii="GHEA Grapalat" w:hAnsi="GHEA Grapalat"/>
                <w:sz w:val="24"/>
                <w:szCs w:val="24"/>
              </w:rPr>
              <w:t>Պլանավորվող արդյունքը</w:t>
            </w:r>
          </w:p>
        </w:tc>
      </w:tr>
      <w:tr w:rsidR="005866FA" w:rsidRPr="00CB405A" w:rsidTr="000837C4">
        <w:trPr>
          <w:tblHeader/>
          <w:jc w:val="center"/>
        </w:trPr>
        <w:tc>
          <w:tcPr>
            <w:tcW w:w="6256"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1</w:t>
            </w:r>
          </w:p>
        </w:tc>
        <w:tc>
          <w:tcPr>
            <w:tcW w:w="2515"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2</w:t>
            </w:r>
          </w:p>
        </w:tc>
        <w:tc>
          <w:tcPr>
            <w:tcW w:w="3118" w:type="dxa"/>
            <w:tcBorders>
              <w:top w:val="single" w:sz="4" w:space="0" w:color="auto"/>
              <w:lef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3</w:t>
            </w:r>
          </w:p>
        </w:tc>
        <w:tc>
          <w:tcPr>
            <w:tcW w:w="3462" w:type="dxa"/>
            <w:tcBorders>
              <w:top w:val="single" w:sz="4" w:space="0" w:color="auto"/>
              <w:left w:val="single" w:sz="4" w:space="0" w:color="auto"/>
              <w:right w:val="single" w:sz="4" w:space="0" w:color="auto"/>
            </w:tcBorders>
            <w:shd w:val="clear" w:color="auto" w:fill="FFFFFF"/>
            <w:vAlign w:val="center"/>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4</w:t>
            </w:r>
          </w:p>
        </w:tc>
      </w:tr>
      <w:tr w:rsidR="005866FA" w:rsidRPr="00CB405A" w:rsidTr="000837C4">
        <w:trPr>
          <w:jc w:val="center"/>
        </w:trPr>
        <w:tc>
          <w:tcPr>
            <w:tcW w:w="15351" w:type="dxa"/>
            <w:gridSpan w:val="4"/>
            <w:tcBorders>
              <w:top w:val="single" w:sz="4" w:space="0" w:color="auto"/>
            </w:tcBorders>
            <w:shd w:val="clear" w:color="auto" w:fill="FFFFFF"/>
          </w:tcPr>
          <w:p w:rsidR="005866FA" w:rsidRPr="00CB405A" w:rsidRDefault="008E4031" w:rsidP="00880282">
            <w:pPr>
              <w:pStyle w:val="Bodytext20"/>
              <w:shd w:val="clear" w:color="auto" w:fill="auto"/>
              <w:spacing w:before="0" w:after="120" w:line="240" w:lineRule="auto"/>
              <w:jc w:val="center"/>
              <w:rPr>
                <w:rFonts w:ascii="GHEA Grapalat" w:hAnsi="GHEA Grapalat"/>
                <w:sz w:val="24"/>
                <w:szCs w:val="24"/>
              </w:rPr>
            </w:pPr>
            <w:r w:rsidRPr="00CB405A">
              <w:rPr>
                <w:rStyle w:val="Bodytext215pt"/>
                <w:rFonts w:ascii="GHEA Grapalat" w:hAnsi="GHEA Grapalat"/>
                <w:sz w:val="24"/>
                <w:szCs w:val="24"/>
              </w:rPr>
              <w:t>1</w:t>
            </w:r>
            <w:r w:rsidR="005D5748" w:rsidRPr="00CB405A">
              <w:rPr>
                <w:rStyle w:val="Bodytext215pt"/>
                <w:rFonts w:ascii="GHEA Grapalat" w:hAnsi="GHEA Grapalat"/>
                <w:sz w:val="24"/>
                <w:szCs w:val="24"/>
              </w:rPr>
              <w:t>. «Մեկ պատուհանի» ազգային մեխանիզմների զարգացում</w:t>
            </w:r>
          </w:p>
        </w:tc>
      </w:tr>
      <w:tr w:rsidR="005866FA" w:rsidRPr="00CB405A" w:rsidTr="000837C4">
        <w:trPr>
          <w:jc w:val="center"/>
        </w:trPr>
        <w:tc>
          <w:tcPr>
            <w:tcW w:w="6256" w:type="dxa"/>
            <w:shd w:val="clear" w:color="auto" w:fill="FFFFFF"/>
          </w:tcPr>
          <w:p w:rsidR="005866FA" w:rsidRPr="00CB405A" w:rsidRDefault="008E403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1.1. Անդամ պետությունների օրենսդրության մեջ </w:t>
            </w:r>
            <w:r w:rsidR="00BD1230" w:rsidRPr="00CB405A">
              <w:rPr>
                <w:rStyle w:val="Bodytext215pt"/>
                <w:rFonts w:ascii="GHEA Grapalat" w:hAnsi="GHEA Grapalat"/>
                <w:sz w:val="24"/>
                <w:szCs w:val="24"/>
              </w:rPr>
              <w:t>եւ</w:t>
            </w:r>
            <w:r w:rsidRPr="00CB405A">
              <w:rPr>
                <w:rStyle w:val="Bodytext215pt"/>
                <w:rFonts w:ascii="GHEA Grapalat" w:hAnsi="GHEA Grapalat"/>
                <w:sz w:val="24"/>
                <w:szCs w:val="24"/>
              </w:rPr>
              <w:t xml:space="preserve"> միջազգային </w:t>
            </w:r>
            <w:r w:rsidR="001735D2" w:rsidRPr="00CB405A">
              <w:rPr>
                <w:rStyle w:val="Bodytext215pt"/>
                <w:rFonts w:ascii="GHEA Grapalat" w:hAnsi="GHEA Grapalat"/>
                <w:sz w:val="24"/>
                <w:szCs w:val="24"/>
              </w:rPr>
              <w:t xml:space="preserve">փորձում </w:t>
            </w:r>
            <w:r w:rsidRPr="00CB405A">
              <w:rPr>
                <w:rStyle w:val="Bodytext215pt"/>
                <w:rFonts w:ascii="GHEA Grapalat" w:hAnsi="GHEA Grapalat"/>
                <w:sz w:val="24"/>
                <w:szCs w:val="24"/>
              </w:rPr>
              <w:t>«</w:t>
            </w:r>
            <w:r w:rsidR="00AC6C72" w:rsidRPr="00CB405A">
              <w:rPr>
                <w:rStyle w:val="Bodytext215pt"/>
                <w:rFonts w:ascii="GHEA Grapalat" w:hAnsi="GHEA Grapalat"/>
                <w:sz w:val="24"/>
                <w:szCs w:val="24"/>
              </w:rPr>
              <w:t>մ</w:t>
            </w:r>
            <w:r w:rsidRPr="00CB405A">
              <w:rPr>
                <w:rStyle w:val="Bodytext215pt"/>
                <w:rFonts w:ascii="GHEA Grapalat" w:hAnsi="GHEA Grapalat"/>
                <w:sz w:val="24"/>
                <w:szCs w:val="24"/>
              </w:rPr>
              <w:t>եկ պատուհանի» մեխանիզմի նկարագրում օգտագործվող եզրույթների համեմատում</w:t>
            </w:r>
          </w:p>
        </w:tc>
        <w:tc>
          <w:tcPr>
            <w:tcW w:w="2515" w:type="dxa"/>
            <w:shd w:val="clear" w:color="auto" w:fill="FFFFFF"/>
          </w:tcPr>
          <w:p w:rsidR="005866FA" w:rsidRPr="00CB405A" w:rsidRDefault="008E403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II եռամսյակ</w:t>
            </w:r>
          </w:p>
        </w:tc>
        <w:tc>
          <w:tcPr>
            <w:tcW w:w="3118" w:type="dxa"/>
            <w:shd w:val="clear" w:color="auto" w:fill="FFFFFF"/>
          </w:tcPr>
          <w:p w:rsidR="00204374" w:rsidRPr="00CB405A" w:rsidRDefault="008E403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Եվրասիական տնտեսական հանձնաժողովը (այսուհետ՝ Հանձնաժողով), Եվրասիական տնտեսական միության անդամ պետություններ (այսուհետ՝ անդամ պետություններ)</w:t>
            </w:r>
          </w:p>
        </w:tc>
        <w:tc>
          <w:tcPr>
            <w:tcW w:w="3462" w:type="dxa"/>
            <w:shd w:val="clear" w:color="auto" w:fill="FFFFFF"/>
          </w:tcPr>
          <w:p w:rsidR="005866FA" w:rsidRPr="00CB405A" w:rsidRDefault="008E403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համեմատական աղյուսակ</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lastRenderedPageBreak/>
              <w:t>1.2. Արտաքին տնտեսական գործունեության հետ կապված պետական ընթացակարգերի եւ բիզնես գործընթացների մոդելավորման ու վերլուծության վերաբերյալ անդամ պետությունների մոտեցումների համաձայնեցում</w:t>
            </w:r>
          </w:p>
        </w:tc>
        <w:tc>
          <w:tcPr>
            <w:tcW w:w="2515" w:type="dxa"/>
            <w:shd w:val="clear" w:color="auto" w:fill="FFFFFF"/>
          </w:tcPr>
          <w:p w:rsidR="00204374" w:rsidRPr="00CB405A" w:rsidRDefault="00204374" w:rsidP="00880282">
            <w:pPr>
              <w:spacing w:after="120"/>
              <w:rPr>
                <w:rFonts w:ascii="GHEA Grapalat" w:hAnsi="GHEA Grapalat"/>
              </w:rPr>
            </w:pPr>
          </w:p>
        </w:tc>
        <w:tc>
          <w:tcPr>
            <w:tcW w:w="3118" w:type="dxa"/>
            <w:shd w:val="clear" w:color="auto" w:fill="FFFFFF"/>
          </w:tcPr>
          <w:p w:rsidR="00204374" w:rsidRPr="00CB405A" w:rsidRDefault="00204374" w:rsidP="00880282">
            <w:pPr>
              <w:spacing w:after="120"/>
              <w:rPr>
                <w:rFonts w:ascii="GHEA Grapalat" w:hAnsi="GHEA Grapalat"/>
              </w:rPr>
            </w:pPr>
          </w:p>
        </w:tc>
        <w:tc>
          <w:tcPr>
            <w:tcW w:w="3462" w:type="dxa"/>
            <w:shd w:val="clear" w:color="auto" w:fill="FFFFFF"/>
          </w:tcPr>
          <w:p w:rsidR="00204374" w:rsidRPr="00CB405A" w:rsidRDefault="00204374" w:rsidP="00880282">
            <w:pPr>
              <w:spacing w:after="120"/>
              <w:rPr>
                <w:rFonts w:ascii="GHEA Grapalat" w:hAnsi="GHEA Grapalat"/>
              </w:rPr>
            </w:pP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599" w:right="187"/>
              <w:jc w:val="left"/>
              <w:rPr>
                <w:rFonts w:ascii="GHEA Grapalat" w:hAnsi="GHEA Grapalat"/>
                <w:sz w:val="24"/>
                <w:szCs w:val="24"/>
              </w:rPr>
            </w:pPr>
            <w:r w:rsidRPr="00CB405A">
              <w:rPr>
                <w:rStyle w:val="Bodytext215pt"/>
                <w:rFonts w:ascii="GHEA Grapalat" w:hAnsi="GHEA Grapalat"/>
                <w:sz w:val="24"/>
                <w:szCs w:val="24"/>
              </w:rPr>
              <w:t>1.2.1. Արտաքին տնտեսական գործունեության հետ կապված պետական ընթացակարգերի եւ բիզնես գործընթացների վերլուծության վերաբերյալ մոտեցումների, այդ թվում՝ անդամ պետություններում համապատասխան մեթոդիկաների եւ ձեռնարկների ուսումնասիրություն (առկայության դեպքում)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ապրիլ</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599" w:right="187"/>
              <w:jc w:val="left"/>
              <w:rPr>
                <w:rFonts w:ascii="GHEA Grapalat" w:hAnsi="GHEA Grapalat"/>
                <w:sz w:val="24"/>
                <w:szCs w:val="24"/>
              </w:rPr>
            </w:pPr>
            <w:r w:rsidRPr="00CB405A">
              <w:rPr>
                <w:rStyle w:val="Bodytext215pt"/>
                <w:rFonts w:ascii="GHEA Grapalat" w:hAnsi="GHEA Grapalat"/>
                <w:sz w:val="24"/>
                <w:szCs w:val="24"/>
              </w:rPr>
              <w:t>1.2.2. Արտաքին տնտեսական գործունեության հետ կապված պետական ընթացակարգերի եւ բիզնես գործընթացների մոդելավորման ու վերլուծության վերաբերյալ ուսուցողական սեմինարի անցկացում՝ Հանձնաժողովի եւ անդամ պետությունների փորձագետների մասնակցությամբ</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մայիս-հունիս</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ՄԱԿ-ի Եվրոպական տնտեսական 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rPr>
                <w:rFonts w:ascii="GHEA Grapalat" w:hAnsi="GHEA Grapalat"/>
                <w:sz w:val="24"/>
                <w:szCs w:val="24"/>
              </w:rPr>
            </w:pPr>
            <w:r w:rsidRPr="00CB405A">
              <w:rPr>
                <w:rStyle w:val="Bodytext215pt"/>
                <w:rFonts w:ascii="GHEA Grapalat" w:hAnsi="GHEA Grapalat"/>
                <w:sz w:val="24"/>
                <w:szCs w:val="24"/>
              </w:rPr>
              <w:t>սեմինարի անցկացում</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1.3. «Մեկ պատուհանի» ազգային մեխանիզմների զարգացման վիճակի գնահատման մեթոդիկայի մշակում</w:t>
            </w:r>
          </w:p>
        </w:tc>
        <w:tc>
          <w:tcPr>
            <w:tcW w:w="2515" w:type="dxa"/>
            <w:shd w:val="clear" w:color="auto" w:fill="FFFFFF"/>
          </w:tcPr>
          <w:p w:rsidR="00204374" w:rsidRPr="00CB405A" w:rsidRDefault="00204374" w:rsidP="00880282">
            <w:pPr>
              <w:spacing w:after="120"/>
              <w:rPr>
                <w:rFonts w:ascii="GHEA Grapalat" w:hAnsi="GHEA Grapalat"/>
              </w:rPr>
            </w:pPr>
          </w:p>
        </w:tc>
        <w:tc>
          <w:tcPr>
            <w:tcW w:w="3118" w:type="dxa"/>
            <w:shd w:val="clear" w:color="auto" w:fill="FFFFFF"/>
          </w:tcPr>
          <w:p w:rsidR="00204374" w:rsidRPr="00CB405A" w:rsidRDefault="00204374" w:rsidP="00880282">
            <w:pPr>
              <w:spacing w:after="120"/>
              <w:rPr>
                <w:rFonts w:ascii="GHEA Grapalat" w:hAnsi="GHEA Grapalat"/>
              </w:rPr>
            </w:pPr>
          </w:p>
        </w:tc>
        <w:tc>
          <w:tcPr>
            <w:tcW w:w="3462" w:type="dxa"/>
            <w:shd w:val="clear" w:color="auto" w:fill="FFFFFF"/>
          </w:tcPr>
          <w:p w:rsidR="00204374" w:rsidRPr="00CB405A" w:rsidRDefault="00204374" w:rsidP="00880282">
            <w:pPr>
              <w:spacing w:after="120"/>
              <w:rPr>
                <w:rFonts w:ascii="GHEA Grapalat" w:hAnsi="GHEA Grapalat"/>
              </w:rPr>
            </w:pP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1.3.1. «Մեկ պատուհանի» ազգային մեխանիզմների զարգացման վիճակի գնահատման համար օբյեկտի (օբյեկտների) սահմանում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մայիս</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հաշվի է առնվում գնահատման մեթոդիկայում</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0" w:right="174"/>
              <w:jc w:val="left"/>
              <w:rPr>
                <w:rFonts w:ascii="GHEA Grapalat" w:hAnsi="GHEA Grapalat"/>
                <w:sz w:val="24"/>
                <w:szCs w:val="24"/>
              </w:rPr>
            </w:pPr>
            <w:r w:rsidRPr="00CB405A">
              <w:rPr>
                <w:rStyle w:val="Bodytext215pt"/>
                <w:rFonts w:ascii="GHEA Grapalat" w:hAnsi="GHEA Grapalat"/>
                <w:sz w:val="24"/>
                <w:szCs w:val="24"/>
              </w:rPr>
              <w:t>1.3.2. Արտահանման, ներմուծման եւ տարանցման առաջնահերթ գործառնությունների ցանկի սահմանում՝ «մեկ պատուհանի» ազգային մեխանիզմների զարգացման վիճակը գնահատելու նպատակով</w:t>
            </w:r>
          </w:p>
        </w:tc>
        <w:tc>
          <w:tcPr>
            <w:tcW w:w="2515"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հաշվի է առնվում գնահատման մեթոդիկայում</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0" w:right="174"/>
              <w:jc w:val="left"/>
              <w:rPr>
                <w:rFonts w:ascii="GHEA Grapalat" w:hAnsi="GHEA Grapalat"/>
                <w:sz w:val="24"/>
                <w:szCs w:val="24"/>
              </w:rPr>
            </w:pPr>
            <w:r w:rsidRPr="00CB405A">
              <w:rPr>
                <w:rStyle w:val="Bodytext215pt"/>
                <w:rFonts w:ascii="GHEA Grapalat" w:hAnsi="GHEA Grapalat"/>
                <w:sz w:val="24"/>
                <w:szCs w:val="24"/>
              </w:rPr>
              <w:t>1.3.3. Արտաքին տնտեսական գործունեության կարգավորման ոլորտների ցանկի սահմանում՝ «մեկ պատուհանի» ազգային մեխանիզմների զարգացման վիճակը գնահատելու նպատակով</w:t>
            </w:r>
          </w:p>
        </w:tc>
        <w:tc>
          <w:tcPr>
            <w:tcW w:w="2515"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2015 թվականի հունիս</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բիզնես գործընթացների համախմբերի մատրիցա (հաշվի է առնվում գնահատման մեթոդիկայում)</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0" w:right="174"/>
              <w:jc w:val="left"/>
              <w:rPr>
                <w:rFonts w:ascii="GHEA Grapalat" w:hAnsi="GHEA Grapalat"/>
                <w:sz w:val="24"/>
                <w:szCs w:val="24"/>
              </w:rPr>
            </w:pPr>
            <w:r w:rsidRPr="00CB405A">
              <w:rPr>
                <w:rStyle w:val="Bodytext215pt"/>
                <w:rFonts w:ascii="GHEA Grapalat" w:hAnsi="GHEA Grapalat"/>
                <w:sz w:val="24"/>
                <w:szCs w:val="24"/>
              </w:rPr>
              <w:t>1.3.4. «Մեկ պատուհանի» ազգային մեխանիզմների զարգացման վիճակի գնահատման մեթոդիկայի հաստատում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Եվրասիական տնտեսական միության (այսուհետ՝ Միություն) մարմնի ակտ </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right="174"/>
              <w:rPr>
                <w:rFonts w:ascii="GHEA Grapalat" w:hAnsi="GHEA Grapalat"/>
                <w:sz w:val="24"/>
                <w:szCs w:val="24"/>
              </w:rPr>
            </w:pPr>
            <w:r w:rsidRPr="00CB405A">
              <w:rPr>
                <w:rStyle w:val="Bodytext215pt"/>
                <w:rFonts w:ascii="GHEA Grapalat" w:hAnsi="GHEA Grapalat"/>
                <w:sz w:val="24"/>
                <w:szCs w:val="24"/>
              </w:rPr>
              <w:t>1.4. «Մեկ պատուհանի» ազգային մեխանիզմների զարգացման վիճակի վերլուծության իրականացում՝ մշակված մեթոդիկային համապատասխան</w:t>
            </w:r>
          </w:p>
        </w:tc>
        <w:tc>
          <w:tcPr>
            <w:tcW w:w="2515" w:type="dxa"/>
            <w:shd w:val="clear" w:color="auto" w:fill="FFFFFF"/>
          </w:tcPr>
          <w:p w:rsidR="00204374" w:rsidRPr="00CB405A" w:rsidRDefault="00204374" w:rsidP="00880282">
            <w:pPr>
              <w:spacing w:after="120"/>
              <w:rPr>
                <w:rFonts w:ascii="GHEA Grapalat" w:hAnsi="GHEA Grapalat"/>
              </w:rPr>
            </w:pPr>
          </w:p>
        </w:tc>
        <w:tc>
          <w:tcPr>
            <w:tcW w:w="3118" w:type="dxa"/>
            <w:shd w:val="clear" w:color="auto" w:fill="FFFFFF"/>
          </w:tcPr>
          <w:p w:rsidR="00204374" w:rsidRPr="00CB405A" w:rsidRDefault="00204374" w:rsidP="00880282">
            <w:pPr>
              <w:spacing w:after="120"/>
              <w:rPr>
                <w:rFonts w:ascii="GHEA Grapalat" w:hAnsi="GHEA Grapalat"/>
              </w:rPr>
            </w:pPr>
          </w:p>
        </w:tc>
        <w:tc>
          <w:tcPr>
            <w:tcW w:w="3462" w:type="dxa"/>
            <w:shd w:val="clear" w:color="auto" w:fill="FFFFFF"/>
          </w:tcPr>
          <w:p w:rsidR="00204374" w:rsidRPr="00CB405A" w:rsidRDefault="00204374" w:rsidP="00880282">
            <w:pPr>
              <w:spacing w:after="120"/>
              <w:rPr>
                <w:rFonts w:ascii="GHEA Grapalat" w:hAnsi="GHEA Grapalat"/>
              </w:rPr>
            </w:pP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0" w:right="174"/>
              <w:jc w:val="left"/>
              <w:rPr>
                <w:rFonts w:ascii="GHEA Grapalat" w:hAnsi="GHEA Grapalat"/>
                <w:sz w:val="24"/>
                <w:szCs w:val="24"/>
              </w:rPr>
            </w:pPr>
            <w:r w:rsidRPr="00CB405A">
              <w:rPr>
                <w:rStyle w:val="Bodytext215pt"/>
                <w:rFonts w:ascii="GHEA Grapalat" w:hAnsi="GHEA Grapalat"/>
                <w:sz w:val="24"/>
                <w:szCs w:val="24"/>
              </w:rPr>
              <w:t xml:space="preserve">1.4.1. «Մեկ պատուհանի» ազգային մեխանիզմների ներդրման եւ զարգացման վերաբերյալ անդամ պետությունների նորմատիվ </w:t>
            </w:r>
            <w:r w:rsidRPr="00CB405A">
              <w:rPr>
                <w:rStyle w:val="Bodytext215pt"/>
                <w:rFonts w:ascii="GHEA Grapalat" w:hAnsi="GHEA Grapalat"/>
                <w:sz w:val="24"/>
                <w:szCs w:val="24"/>
              </w:rPr>
              <w:lastRenderedPageBreak/>
              <w:t>իրավական ակտերի վերլուծության իրականացում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0" w:right="174"/>
              <w:jc w:val="left"/>
              <w:rPr>
                <w:rFonts w:ascii="GHEA Grapalat" w:hAnsi="GHEA Grapalat"/>
                <w:sz w:val="24"/>
                <w:szCs w:val="24"/>
              </w:rPr>
            </w:pPr>
            <w:r w:rsidRPr="00CB405A">
              <w:rPr>
                <w:rStyle w:val="Bodytext215pt"/>
                <w:rFonts w:ascii="GHEA Grapalat" w:hAnsi="GHEA Grapalat"/>
                <w:sz w:val="24"/>
                <w:szCs w:val="24"/>
              </w:rPr>
              <w:lastRenderedPageBreak/>
              <w:t xml:space="preserve">1.4.2. Անդամ պետություններում «մեկ պատուհանի» ազգային մեխանիզմների ընդգրկման ոլորտի վերլուծություն </w:t>
            </w:r>
          </w:p>
        </w:tc>
        <w:tc>
          <w:tcPr>
            <w:tcW w:w="2515"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1.4.3. Արտաքին տնտեսական գործունեության հետ կապված՝ գոյություն ունեցող պետական ընթացակարգերի եւ բիզնես գործընթացների վերլուծություն՝ սույն պլանի 1.4.1 կետին համապատասխան, դրանց ավտոմատացման աստիճանների եւ մակարդակների վերլուծություն: Թղթային կրիչով ներկայացվող փաստաթղթերից էլեկտրոնային փաստաթղթերին անցնելիս «նեղ հատվածների» սահմանում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1.4.4. Արտաքին տնտեսական գործունեություն իրականացնելու համար անհրաժեշտ փաստաթղթերում պարունակվող տեղեկությունները ներդաշնակեցնելու եւ նվազագույնի հասցնելու հնարավորությունների վերլուծություն</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 xml:space="preserve">1.4.5. Պարտադիր վճարների էլեկտրոնային եղանակով վճարման պրակտիկայի եւ «մեկ </w:t>
            </w:r>
            <w:r w:rsidRPr="00CB405A">
              <w:rPr>
                <w:rStyle w:val="Bodytext215pt"/>
                <w:rFonts w:ascii="GHEA Grapalat" w:hAnsi="GHEA Grapalat"/>
                <w:sz w:val="24"/>
                <w:szCs w:val="24"/>
              </w:rPr>
              <w:lastRenderedPageBreak/>
              <w:t>պատուհանի» ազգային մեխանիզմների շրջանակներում այդպիսի ծառայության տրամադրման հնարավորության վերլուծություն</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lastRenderedPageBreak/>
              <w:t>1.4.6. Անդամ պետություններում «մեկ պատուհանի» ազգային մեխանիզմների պորտալի ստեղծման տեխնիկական հնարավորության եւ իրավական հիմքերի սահմանում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1.4.7. «Մեկ պատուհանի» ազգային մեխանիզմների ստեղծմանն ուղղված ազգային ծրագրերի (նպատակային ցուցանիշների) նպատակի սահմանում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1.4.8. «Մեկ պատուհանի» տեղական մեխանիզմների զարգացման ուղղությամբ ընդունված ազգային ծրագրերի ուսումնասիրություն: «Մեկ պատուհանի» ազգային մեխանիզմի միասնական համակարգում դրանց ինտեգրման անհրաժեշտության գնահատում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1.4.9. «Մեկ պատուհանի» ազգային մեխանիզմների ուժեղ եւ թույլ</w:t>
            </w:r>
            <w:r w:rsidRPr="00CB405A" w:rsidDel="00F9776D">
              <w:rPr>
                <w:rStyle w:val="Bodytext215pt"/>
                <w:rFonts w:ascii="GHEA Grapalat" w:hAnsi="GHEA Grapalat"/>
                <w:sz w:val="24"/>
                <w:szCs w:val="24"/>
              </w:rPr>
              <w:t xml:space="preserve"> </w:t>
            </w:r>
            <w:r w:rsidRPr="00CB405A">
              <w:rPr>
                <w:rStyle w:val="Bodytext215pt"/>
                <w:rFonts w:ascii="GHEA Grapalat" w:hAnsi="GHEA Grapalat"/>
                <w:sz w:val="24"/>
                <w:szCs w:val="24"/>
              </w:rPr>
              <w:t>կողմերի, զարգացման հնարավորությունների եւ հեռանկարների վերլուծություն</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160"/>
              <w:jc w:val="left"/>
              <w:rPr>
                <w:rFonts w:ascii="GHEA Grapalat" w:hAnsi="GHEA Grapalat"/>
                <w:sz w:val="24"/>
                <w:szCs w:val="24"/>
              </w:rPr>
            </w:pPr>
            <w:r w:rsidRPr="00CB405A">
              <w:rPr>
                <w:rStyle w:val="Bodytext215pt"/>
                <w:rFonts w:ascii="GHEA Grapalat" w:hAnsi="GHEA Grapalat"/>
                <w:sz w:val="24"/>
                <w:szCs w:val="24"/>
              </w:rPr>
              <w:t xml:space="preserve">1.5. «Մեկ պատուհանի» ազգային մեխանիզմների </w:t>
            </w:r>
            <w:r w:rsidRPr="00CB405A">
              <w:rPr>
                <w:rStyle w:val="Bodytext215pt"/>
                <w:rFonts w:ascii="GHEA Grapalat" w:hAnsi="GHEA Grapalat"/>
                <w:sz w:val="24"/>
                <w:szCs w:val="24"/>
              </w:rPr>
              <w:lastRenderedPageBreak/>
              <w:t>զարգացման վիճակի գնահատման արդյունքների հավաքագրում եւ ընդհանրացում։ Արտաքին տնտեսական գործունեության հետ կապված պետական ընթացակարգերի եւ բիզնես գործընթացների օպտիմալացման, ինչպես նաեւ «մեկ պատուհանի» ազգային մեխանիզմների զարգացման վերաբերյալ եզրակացությունների մշակում՝ ըստ յուրաքանչյուր անդամ պետության</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 xml:space="preserve">2015 թվականի IV </w:t>
            </w:r>
            <w:r w:rsidRPr="00CB405A">
              <w:rPr>
                <w:rStyle w:val="Bodytext215pt"/>
                <w:rFonts w:ascii="GHEA Grapalat" w:hAnsi="GHEA Grapalat"/>
                <w:sz w:val="24"/>
                <w:szCs w:val="24"/>
              </w:rPr>
              <w:lastRenderedPageBreak/>
              <w:t>եռամսյակ</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 xml:space="preserve">Հանձնաժողով, անդամ </w:t>
            </w:r>
            <w:r w:rsidRPr="00CB405A">
              <w:rPr>
                <w:rStyle w:val="Bodytext215pt"/>
                <w:rFonts w:ascii="GHEA Grapalat" w:hAnsi="GHEA Grapalat"/>
                <w:sz w:val="24"/>
                <w:szCs w:val="24"/>
              </w:rPr>
              <w:lastRenderedPageBreak/>
              <w:t>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 xml:space="preserve">յուրաքանչյուր անդամ </w:t>
            </w:r>
            <w:r w:rsidRPr="00CB405A">
              <w:rPr>
                <w:rStyle w:val="Bodytext215pt"/>
                <w:rFonts w:ascii="GHEA Grapalat" w:hAnsi="GHEA Grapalat"/>
                <w:sz w:val="24"/>
                <w:szCs w:val="24"/>
              </w:rPr>
              <w:lastRenderedPageBreak/>
              <w:t>պետության վերաբերյալ առաջարկություններ</w:t>
            </w:r>
          </w:p>
        </w:tc>
      </w:tr>
      <w:tr w:rsidR="00204374" w:rsidRPr="00CB405A" w:rsidTr="000837C4">
        <w:trPr>
          <w:trHeight w:val="2459"/>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160"/>
              <w:jc w:val="left"/>
              <w:rPr>
                <w:rFonts w:ascii="GHEA Grapalat" w:hAnsi="GHEA Grapalat"/>
                <w:sz w:val="24"/>
                <w:szCs w:val="24"/>
              </w:rPr>
            </w:pPr>
            <w:r w:rsidRPr="00CB405A">
              <w:rPr>
                <w:rStyle w:val="Bodytext215pt"/>
                <w:rFonts w:ascii="GHEA Grapalat" w:hAnsi="GHEA Grapalat"/>
                <w:sz w:val="24"/>
                <w:szCs w:val="24"/>
              </w:rPr>
              <w:lastRenderedPageBreak/>
              <w:t>1.6. «Մեկ պատուհանի» ազգային մեխանիզմի էտալոնային մոդելի գործառույթների եւ ճարտարապետության մանրամասն նկարագրի, այդ էտալոնային մոդելում ընդգրկված պետական ընթացակարգերի եւ ծառայությունների ցանկի մշակում ու հաստատում՝ հաշվի առնելով վերազգային հատվածը</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Հանձնաժողովի խորհրդի որոշման նախագծի նախապատրաստման ընթացքի վերաբերյալ տեղեկանք</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1.7. «Մեկ պատուհանի» ազգային մեխանիզմների մշակում, ներդրում եւ օպտիմալացում</w:t>
            </w:r>
          </w:p>
        </w:tc>
        <w:tc>
          <w:tcPr>
            <w:tcW w:w="2515" w:type="dxa"/>
            <w:shd w:val="clear" w:color="auto" w:fill="FFFFFF"/>
          </w:tcPr>
          <w:p w:rsidR="00204374" w:rsidRPr="00CB405A" w:rsidRDefault="00204374" w:rsidP="00880282">
            <w:pPr>
              <w:spacing w:after="120"/>
              <w:rPr>
                <w:rFonts w:ascii="GHEA Grapalat" w:hAnsi="GHEA Grapalat"/>
              </w:rPr>
            </w:pPr>
          </w:p>
        </w:tc>
        <w:tc>
          <w:tcPr>
            <w:tcW w:w="3118" w:type="dxa"/>
            <w:shd w:val="clear" w:color="auto" w:fill="FFFFFF"/>
          </w:tcPr>
          <w:p w:rsidR="00204374" w:rsidRPr="00CB405A" w:rsidRDefault="00204374" w:rsidP="00880282">
            <w:pPr>
              <w:spacing w:after="120"/>
              <w:rPr>
                <w:rFonts w:ascii="GHEA Grapalat" w:hAnsi="GHEA Grapalat"/>
              </w:rPr>
            </w:pPr>
          </w:p>
        </w:tc>
        <w:tc>
          <w:tcPr>
            <w:tcW w:w="3462" w:type="dxa"/>
            <w:shd w:val="clear" w:color="auto" w:fill="FFFFFF"/>
          </w:tcPr>
          <w:p w:rsidR="00204374" w:rsidRPr="00CB405A" w:rsidRDefault="00204374" w:rsidP="00880282">
            <w:pPr>
              <w:spacing w:after="120"/>
              <w:rPr>
                <w:rFonts w:ascii="GHEA Grapalat" w:hAnsi="GHEA Grapalat"/>
              </w:rPr>
            </w:pP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1.7.1. «Մեկ պատուհանի» ազգային մեխանիզմների զարգացման հայեցակարգերի ստեղծում կամ բարելավում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«Մեկ պատուհանի» ազգային մեխանիզմների զարգացման հայեցակարգեր</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 xml:space="preserve">1.7.2. «Մեկ պատուհանի» ազգային մեխանիզմների ստեղծման հետ կապված </w:t>
            </w:r>
            <w:r w:rsidRPr="00CB405A">
              <w:rPr>
                <w:rStyle w:val="Bodytext215pt"/>
                <w:rFonts w:ascii="GHEA Grapalat" w:hAnsi="GHEA Grapalat"/>
                <w:sz w:val="24"/>
                <w:szCs w:val="24"/>
              </w:rPr>
              <w:lastRenderedPageBreak/>
              <w:t>միջոցառումների պլանների («ճանապարհային քարտեզների») նախապատրաստում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«Մեկ պատուհանի» ազգային մեխանիզմների ստեղծման </w:t>
            </w:r>
            <w:r w:rsidRPr="00CB405A">
              <w:rPr>
                <w:rStyle w:val="Bodytext215pt"/>
                <w:rFonts w:ascii="GHEA Grapalat" w:hAnsi="GHEA Grapalat"/>
                <w:sz w:val="24"/>
                <w:szCs w:val="24"/>
              </w:rPr>
              <w:lastRenderedPageBreak/>
              <w:t>հետ կապված միջոցառումների պլանների («ճանապարհային քարտեզների») նախապատրաստման վերաբերյալ միջանկյալ հաշվետվություն</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1.7.3. «Մեկ պատուհանի» ազգային մեխանիզմների ներդրման պիլոտային ծրագրերի իրականացում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պիլոտային ծրագրերի իրականացման վերաբերյալ միջանկյալ հաշվետվություն</w:t>
            </w:r>
          </w:p>
        </w:tc>
      </w:tr>
      <w:tr w:rsidR="00204374" w:rsidRPr="00CB405A" w:rsidTr="000837C4">
        <w:trPr>
          <w:jc w:val="center"/>
        </w:trPr>
        <w:tc>
          <w:tcPr>
            <w:tcW w:w="15351" w:type="dxa"/>
            <w:gridSpan w:val="4"/>
            <w:shd w:val="clear" w:color="auto" w:fill="FFFFFF"/>
          </w:tcPr>
          <w:p w:rsidR="00204374" w:rsidRPr="00CB405A" w:rsidRDefault="00204374" w:rsidP="00880282">
            <w:pPr>
              <w:pStyle w:val="Bodytext20"/>
              <w:shd w:val="clear" w:color="auto" w:fill="auto"/>
              <w:spacing w:before="0" w:after="120" w:line="240" w:lineRule="auto"/>
              <w:ind w:left="2222" w:right="2333"/>
              <w:jc w:val="center"/>
              <w:rPr>
                <w:rStyle w:val="Bodytext215pt"/>
                <w:rFonts w:ascii="GHEA Grapalat" w:hAnsi="GHEA Grapalat"/>
                <w:sz w:val="24"/>
                <w:szCs w:val="24"/>
              </w:rPr>
            </w:pPr>
            <w:r w:rsidRPr="00CB405A">
              <w:rPr>
                <w:rStyle w:val="Bodytext215pt"/>
                <w:rFonts w:ascii="GHEA Grapalat" w:hAnsi="GHEA Grapalat"/>
                <w:sz w:val="24"/>
                <w:szCs w:val="24"/>
              </w:rPr>
              <w:t>2. «Մեկ պատուհանի» ազգային մեխանիզմների զարգացման հետ կապված մոտեցումների մոտարկում</w:t>
            </w:r>
          </w:p>
        </w:tc>
      </w:tr>
      <w:tr w:rsidR="00204374" w:rsidRPr="00CB405A" w:rsidTr="000837C4">
        <w:trPr>
          <w:jc w:val="center"/>
        </w:trPr>
        <w:tc>
          <w:tcPr>
            <w:tcW w:w="6256"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2.1. «Մեկ պատուհանի» ազգային մեխանիզմների զարգացման հետ կապված մոտեցումների մոտարկման գերակա ուղղությունների սահմանում</w:t>
            </w:r>
          </w:p>
        </w:tc>
        <w:tc>
          <w:tcPr>
            <w:tcW w:w="2515"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204374" w:rsidRPr="00CB405A" w:rsidRDefault="00204374"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եզրակացություն</w:t>
            </w:r>
          </w:p>
        </w:tc>
      </w:tr>
      <w:tr w:rsidR="000D08A1" w:rsidRPr="00CB405A" w:rsidTr="000837C4">
        <w:trPr>
          <w:jc w:val="center"/>
        </w:trPr>
        <w:tc>
          <w:tcPr>
            <w:tcW w:w="15351" w:type="dxa"/>
            <w:gridSpan w:val="4"/>
            <w:shd w:val="clear" w:color="auto" w:fill="FFFFFF"/>
          </w:tcPr>
          <w:p w:rsidR="000D08A1" w:rsidRPr="00CB405A" w:rsidRDefault="000D08A1" w:rsidP="00880282">
            <w:pPr>
              <w:pStyle w:val="Bodytext20"/>
              <w:shd w:val="clear" w:color="auto" w:fill="auto"/>
              <w:spacing w:before="0" w:after="120" w:line="240" w:lineRule="auto"/>
              <w:ind w:left="1655" w:right="1766"/>
              <w:jc w:val="center"/>
              <w:rPr>
                <w:rFonts w:ascii="GHEA Grapalat" w:hAnsi="GHEA Grapalat"/>
                <w:sz w:val="24"/>
                <w:szCs w:val="24"/>
              </w:rPr>
            </w:pPr>
            <w:r w:rsidRPr="00CB405A">
              <w:rPr>
                <w:rStyle w:val="Bodytext215pt"/>
                <w:rFonts w:ascii="GHEA Grapalat" w:hAnsi="GHEA Grapalat"/>
                <w:sz w:val="24"/>
                <w:szCs w:val="24"/>
              </w:rPr>
              <w:t>3. Արտաքին տնտեսական գործունեություն իրականացնելու համար անհրաժեշտ էլեկտրոնային փաստաթղթերի փոխադարձ ճանաչում</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3.1. Արտաքին տնտեսական գործունեություն իրականացնելու համար անհրաժեշտ փաստաթղթերի ու տեղեկությունների վերլուծություն եւ Միության իրավունքի մաս կազմող ակտերում եւ անդամ պետությունների օրենսդրության մեջ փոփոխություններ </w:t>
            </w:r>
            <w:r w:rsidRPr="00CB405A">
              <w:rPr>
                <w:rStyle w:val="Bodytext215pt"/>
                <w:rFonts w:ascii="GHEA Grapalat" w:hAnsi="GHEA Grapalat"/>
                <w:sz w:val="24"/>
                <w:szCs w:val="24"/>
              </w:rPr>
              <w:lastRenderedPageBreak/>
              <w:t>կատարելու անհրաժեշտության գնահատում՝ փաստաթղթերում պարունակվող տեղեկությունների միասնականացման եւ ներդաշնակեցման նպատակով</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3.1.1 Միության իրավունքի մաս կազմող ակտերի եւ անդամ պետությունների օրենսդրության վերլուծություն իրականացնելու հետ կապված մոտեցումների համաձայնեցում՝ այն փաստաթղթերը սահմանելու նպատակով, որոնցում անհրաժեշտ է փոփոխություններ կատարել՝ ուղղված դրանցում պարունակվող տեղեկությունների միասնականացմանը եւ ներդաշնակեցմանը</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3.1.2. Միության իրավունքի մաս կազմող ակտերի եւ անդամ պետությունների օրենսդրության վերլուծություն՝ այն փաստաթղթերը սահմանելու նպատակով, որոնցում անհրաժեշտ է փոփոխություններ կատարել՝ ուղղված դրանցում պարունակվող տեղեկությունների միասնականացմանը եւ ներդաշնակեցմանը պետական կարգավորման հետեւյալ ոլորտներում.</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մաքսային կարգավորում,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արժութային կարգավորում,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lastRenderedPageBreak/>
              <w:t xml:space="preserve">հարկային կարգավորում,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մաքսասակագնային կարգավորում,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ոչ սակագնային կարգավորում,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տեխնիկական կարգավորում, </w:t>
            </w:r>
          </w:p>
          <w:p w:rsidR="000D08A1" w:rsidRPr="00CB405A" w:rsidRDefault="000D08A1" w:rsidP="00880282">
            <w:pPr>
              <w:pStyle w:val="Bodytext20"/>
              <w:shd w:val="clear" w:color="auto" w:fill="auto"/>
              <w:spacing w:before="0" w:after="120" w:line="240" w:lineRule="auto"/>
              <w:ind w:left="1005" w:firstLine="14"/>
              <w:jc w:val="left"/>
              <w:rPr>
                <w:rFonts w:ascii="GHEA Grapalat" w:hAnsi="GHEA Grapalat"/>
                <w:sz w:val="24"/>
                <w:szCs w:val="24"/>
              </w:rPr>
            </w:pPr>
            <w:r w:rsidRPr="00CB405A">
              <w:rPr>
                <w:rStyle w:val="Bodytext215pt"/>
                <w:rFonts w:ascii="GHEA Grapalat" w:hAnsi="GHEA Grapalat"/>
                <w:sz w:val="24"/>
                <w:szCs w:val="24"/>
              </w:rPr>
              <w:t>սանիտարական, անասնաբուժասանիտարական, կարանտինային բուսասանիտարական միջոցներ,</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ֆինանսական ծառայություններ (բանկային, ապահովագրական), </w:t>
            </w:r>
          </w:p>
          <w:p w:rsidR="000D08A1" w:rsidRPr="00CB405A" w:rsidRDefault="000D08A1" w:rsidP="00880282">
            <w:pPr>
              <w:pStyle w:val="Bodytext20"/>
              <w:shd w:val="clear" w:color="auto" w:fill="auto"/>
              <w:spacing w:before="0" w:after="120" w:line="240" w:lineRule="auto"/>
              <w:ind w:left="1005" w:firstLine="14"/>
              <w:jc w:val="left"/>
              <w:rPr>
                <w:rStyle w:val="Bodytext215pt"/>
                <w:rFonts w:ascii="GHEA Grapalat" w:hAnsi="GHEA Grapalat"/>
                <w:sz w:val="24"/>
                <w:szCs w:val="24"/>
              </w:rPr>
            </w:pPr>
            <w:r w:rsidRPr="00CB405A">
              <w:rPr>
                <w:rStyle w:val="Bodytext215pt"/>
                <w:rFonts w:ascii="GHEA Grapalat" w:hAnsi="GHEA Grapalat"/>
                <w:sz w:val="24"/>
                <w:szCs w:val="24"/>
              </w:rPr>
              <w:t xml:space="preserve">տրանսպորտ ու փոխադրումներ, </w:t>
            </w:r>
          </w:p>
          <w:p w:rsidR="000D08A1" w:rsidRPr="00CB405A" w:rsidRDefault="000D08A1" w:rsidP="00880282">
            <w:pPr>
              <w:pStyle w:val="Bodytext20"/>
              <w:shd w:val="clear" w:color="auto" w:fill="auto"/>
              <w:spacing w:before="0" w:after="120" w:line="240" w:lineRule="auto"/>
              <w:ind w:left="1005" w:firstLine="14"/>
              <w:jc w:val="left"/>
              <w:rPr>
                <w:rFonts w:ascii="GHEA Grapalat" w:hAnsi="GHEA Grapalat"/>
                <w:sz w:val="24"/>
                <w:szCs w:val="24"/>
              </w:rPr>
            </w:pPr>
            <w:r w:rsidRPr="00CB405A">
              <w:rPr>
                <w:rStyle w:val="Bodytext215pt"/>
                <w:rFonts w:ascii="GHEA Grapalat" w:hAnsi="GHEA Grapalat"/>
                <w:sz w:val="24"/>
                <w:szCs w:val="24"/>
              </w:rPr>
              <w:t xml:space="preserve">մտավոր սեփականության իրավունքների պահպանություն եւ պաշտպանություն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եզրակացություն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83"/>
              <w:jc w:val="left"/>
              <w:rPr>
                <w:rFonts w:ascii="GHEA Grapalat" w:hAnsi="GHEA Grapalat"/>
                <w:sz w:val="24"/>
                <w:szCs w:val="24"/>
              </w:rPr>
            </w:pPr>
            <w:r w:rsidRPr="00CB405A">
              <w:rPr>
                <w:rStyle w:val="Bodytext215pt"/>
                <w:rFonts w:ascii="GHEA Grapalat" w:hAnsi="GHEA Grapalat"/>
                <w:sz w:val="24"/>
                <w:szCs w:val="24"/>
              </w:rPr>
              <w:lastRenderedPageBreak/>
              <w:t xml:space="preserve">3.1.3. Արտաքին տնտեսական գործունեություն իրականացնելու համար անհրաժեշտ փաստաթղթերում պարունակվող տեղեկությունների միասնականացման եւ ներդաշնակեցման աստիճանի ու հնարավորության հետ կապված մոտեցումների համաձայնեցում, այդ թվում՝ միջազգային </w:t>
            </w:r>
            <w:r w:rsidRPr="00CB405A">
              <w:rPr>
                <w:rStyle w:val="Bodytext215pt"/>
                <w:rFonts w:ascii="GHEA Grapalat" w:hAnsi="GHEA Grapalat"/>
                <w:sz w:val="24"/>
                <w:szCs w:val="24"/>
              </w:rPr>
              <w:lastRenderedPageBreak/>
              <w:t>չափորոշիչներին համապատասխան</w:t>
            </w:r>
          </w:p>
        </w:tc>
        <w:tc>
          <w:tcPr>
            <w:tcW w:w="2515" w:type="dxa"/>
            <w:shd w:val="clear" w:color="auto" w:fill="FFFFFF"/>
          </w:tcPr>
          <w:p w:rsidR="000D08A1" w:rsidRPr="00CB405A" w:rsidRDefault="000D08A1" w:rsidP="00880282">
            <w:pPr>
              <w:pStyle w:val="Bodytext20"/>
              <w:shd w:val="clear" w:color="auto" w:fill="auto"/>
              <w:spacing w:before="0" w:after="120" w:line="240" w:lineRule="auto"/>
              <w:ind w:left="76" w:right="192"/>
              <w:jc w:val="left"/>
              <w:rPr>
                <w:rFonts w:ascii="GHEA Grapalat" w:hAnsi="GHEA Grapalat"/>
                <w:sz w:val="24"/>
                <w:szCs w:val="24"/>
              </w:rPr>
            </w:pPr>
            <w:r w:rsidRPr="00CB405A">
              <w:rPr>
                <w:rStyle w:val="Bodytext215pt"/>
                <w:rFonts w:ascii="GHEA Grapalat" w:hAnsi="GHEA Grapalat"/>
                <w:sz w:val="24"/>
                <w:szCs w:val="24"/>
              </w:rPr>
              <w:lastRenderedPageBreak/>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ind w:left="76" w:right="192"/>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ind w:left="76" w:right="192"/>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41"/>
              <w:jc w:val="left"/>
              <w:rPr>
                <w:rFonts w:ascii="GHEA Grapalat" w:hAnsi="GHEA Grapalat"/>
                <w:sz w:val="24"/>
                <w:szCs w:val="24"/>
              </w:rPr>
            </w:pPr>
            <w:r w:rsidRPr="00CB405A">
              <w:rPr>
                <w:rStyle w:val="Bodytext215pt"/>
                <w:rFonts w:ascii="GHEA Grapalat" w:hAnsi="GHEA Grapalat"/>
                <w:sz w:val="24"/>
                <w:szCs w:val="24"/>
              </w:rPr>
              <w:lastRenderedPageBreak/>
              <w:t>3.1.4. Արտաքին տնտեսական գործունեություն իրականացնելու համար անհրաժեշտ փաստաթղթերում պարունակվող տեղեկությունների միասնականացման եւ ներդաշնակեցման աստիճանի ու հնարավորության գնահատում, այդ թվում՝ միջազգային չափորոշիչներին համապատասխան՝ պետական կարգավորման հետեւյալ ոլորտներում.</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մաքսային կարգավորում,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արժութային կարգավորում,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հարկային կարգավորում,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մաքսասակագնային կարգավորում,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ոչ սակագնային կարգավորում,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տեխնիկական կարգավորում, </w:t>
            </w:r>
          </w:p>
          <w:p w:rsidR="000D08A1" w:rsidRPr="00CB405A" w:rsidRDefault="000D08A1" w:rsidP="00880282">
            <w:pPr>
              <w:pStyle w:val="Bodytext20"/>
              <w:shd w:val="clear" w:color="auto" w:fill="auto"/>
              <w:spacing w:before="0" w:after="120" w:line="240" w:lineRule="auto"/>
              <w:ind w:left="946" w:firstLine="460"/>
              <w:jc w:val="left"/>
              <w:rPr>
                <w:rFonts w:ascii="GHEA Grapalat" w:hAnsi="GHEA Grapalat"/>
                <w:sz w:val="24"/>
                <w:szCs w:val="24"/>
              </w:rPr>
            </w:pPr>
            <w:r w:rsidRPr="00CB405A">
              <w:rPr>
                <w:rStyle w:val="Bodytext215pt"/>
                <w:rFonts w:ascii="GHEA Grapalat" w:hAnsi="GHEA Grapalat"/>
                <w:sz w:val="24"/>
                <w:szCs w:val="24"/>
              </w:rPr>
              <w:t>սանիտարական, անասնաբուժասանիտարական, կարանտինային բուսասանիտարական միջոցներ,</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ֆինանսական ծառայություններ </w:t>
            </w:r>
            <w:r w:rsidRPr="00CB405A">
              <w:rPr>
                <w:rStyle w:val="Bodytext215pt"/>
                <w:rFonts w:ascii="GHEA Grapalat" w:hAnsi="GHEA Grapalat"/>
                <w:sz w:val="24"/>
                <w:szCs w:val="24"/>
              </w:rPr>
              <w:lastRenderedPageBreak/>
              <w:t xml:space="preserve">(բանկային, ապահովագրական), </w:t>
            </w:r>
          </w:p>
          <w:p w:rsidR="000D08A1" w:rsidRPr="00CB405A" w:rsidRDefault="000D08A1" w:rsidP="00880282">
            <w:pPr>
              <w:pStyle w:val="Bodytext20"/>
              <w:shd w:val="clear" w:color="auto" w:fill="auto"/>
              <w:spacing w:before="0" w:after="120" w:line="240" w:lineRule="auto"/>
              <w:ind w:left="946" w:firstLine="460"/>
              <w:jc w:val="left"/>
              <w:rPr>
                <w:rStyle w:val="Bodytext215pt"/>
                <w:rFonts w:ascii="GHEA Grapalat" w:hAnsi="GHEA Grapalat"/>
                <w:sz w:val="24"/>
                <w:szCs w:val="24"/>
              </w:rPr>
            </w:pPr>
            <w:r w:rsidRPr="00CB405A">
              <w:rPr>
                <w:rStyle w:val="Bodytext215pt"/>
                <w:rFonts w:ascii="GHEA Grapalat" w:hAnsi="GHEA Grapalat"/>
                <w:sz w:val="24"/>
                <w:szCs w:val="24"/>
              </w:rPr>
              <w:t xml:space="preserve">տրանսպորտ ու փոխադրումներ, </w:t>
            </w:r>
          </w:p>
          <w:p w:rsidR="000D08A1" w:rsidRPr="00CB405A" w:rsidRDefault="000D08A1" w:rsidP="00880282">
            <w:pPr>
              <w:pStyle w:val="Bodytext20"/>
              <w:shd w:val="clear" w:color="auto" w:fill="auto"/>
              <w:spacing w:before="0" w:after="120" w:line="240" w:lineRule="auto"/>
              <w:ind w:left="946" w:firstLine="460"/>
              <w:jc w:val="left"/>
              <w:rPr>
                <w:rFonts w:ascii="GHEA Grapalat" w:hAnsi="GHEA Grapalat"/>
                <w:sz w:val="24"/>
                <w:szCs w:val="24"/>
              </w:rPr>
            </w:pPr>
            <w:r w:rsidRPr="00CB405A">
              <w:rPr>
                <w:rStyle w:val="Bodytext215pt"/>
                <w:rFonts w:ascii="GHEA Grapalat" w:hAnsi="GHEA Grapalat"/>
                <w:sz w:val="24"/>
                <w:szCs w:val="24"/>
              </w:rPr>
              <w:t>մտավոր սեփականության իրավունքների պահպանություն եւ պաշտպանություն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եզրակացություն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55" w:right="184"/>
              <w:jc w:val="left"/>
              <w:rPr>
                <w:rFonts w:ascii="GHEA Grapalat" w:hAnsi="GHEA Grapalat"/>
                <w:sz w:val="24"/>
                <w:szCs w:val="24"/>
              </w:rPr>
            </w:pPr>
            <w:r w:rsidRPr="00CB405A">
              <w:rPr>
                <w:rStyle w:val="Bodytext215pt"/>
                <w:rFonts w:ascii="GHEA Grapalat" w:hAnsi="GHEA Grapalat"/>
                <w:sz w:val="24"/>
                <w:szCs w:val="24"/>
              </w:rPr>
              <w:lastRenderedPageBreak/>
              <w:t>3.1.5. Էլեկտրոնային փաստաթղթերի ձեւակերպման հնարավորության գնահատման հետ կապված մոտեցումների համաձայնեցում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ind w:left="79" w:right="105"/>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ind w:left="79" w:right="105"/>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ind w:left="79" w:right="105"/>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right="45"/>
              <w:jc w:val="left"/>
              <w:rPr>
                <w:rStyle w:val="Bodytext215pt"/>
                <w:rFonts w:ascii="GHEA Grapalat" w:hAnsi="GHEA Grapalat"/>
                <w:sz w:val="24"/>
                <w:szCs w:val="24"/>
              </w:rPr>
            </w:pPr>
            <w:r w:rsidRPr="00CB405A">
              <w:rPr>
                <w:rStyle w:val="Bodytext215pt"/>
                <w:rFonts w:ascii="GHEA Grapalat" w:hAnsi="GHEA Grapalat"/>
                <w:sz w:val="24"/>
                <w:szCs w:val="24"/>
              </w:rPr>
              <w:t xml:space="preserve">3.1.6. Էլեկտրոնային փաստաթղթերի ձեւակերպման հնարավորության գնահատում պետական կարգավորման հետեւյալ ոլորտներում.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մաքսային կարգավորում,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արժութային կարգավորում,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հարկային կարգավորում,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մաքսասակագնային կարգավորում,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ոչ սակագնային կարգավորում, </w:t>
            </w:r>
          </w:p>
          <w:p w:rsidR="000D08A1" w:rsidRPr="00CB405A" w:rsidRDefault="000D08A1" w:rsidP="00880282">
            <w:pPr>
              <w:pStyle w:val="Bodytext20"/>
              <w:shd w:val="clear" w:color="auto" w:fill="auto"/>
              <w:spacing w:before="0" w:after="120" w:line="240" w:lineRule="auto"/>
              <w:ind w:left="661" w:firstLine="426"/>
              <w:jc w:val="left"/>
              <w:rPr>
                <w:rStyle w:val="Bodytext215pt"/>
                <w:rFonts w:ascii="GHEA Grapalat" w:hAnsi="GHEA Grapalat"/>
                <w:sz w:val="24"/>
                <w:szCs w:val="24"/>
              </w:rPr>
            </w:pPr>
            <w:r w:rsidRPr="00CB405A">
              <w:rPr>
                <w:rStyle w:val="Bodytext215pt"/>
                <w:rFonts w:ascii="GHEA Grapalat" w:hAnsi="GHEA Grapalat"/>
                <w:sz w:val="24"/>
                <w:szCs w:val="24"/>
              </w:rPr>
              <w:t xml:space="preserve">տեխնիկական կարգավորում, </w:t>
            </w:r>
          </w:p>
          <w:p w:rsidR="000D08A1" w:rsidRPr="00CB405A" w:rsidRDefault="000D08A1" w:rsidP="00880282">
            <w:pPr>
              <w:pStyle w:val="Bodytext20"/>
              <w:shd w:val="clear" w:color="auto" w:fill="auto"/>
              <w:spacing w:before="0" w:after="120" w:line="240" w:lineRule="auto"/>
              <w:ind w:left="661" w:firstLine="426"/>
              <w:jc w:val="left"/>
              <w:rPr>
                <w:rFonts w:ascii="GHEA Grapalat" w:hAnsi="GHEA Grapalat"/>
                <w:sz w:val="24"/>
                <w:szCs w:val="24"/>
              </w:rPr>
            </w:pPr>
            <w:r w:rsidRPr="00CB405A">
              <w:rPr>
                <w:rStyle w:val="Bodytext215pt"/>
                <w:rFonts w:ascii="GHEA Grapalat" w:hAnsi="GHEA Grapalat"/>
                <w:sz w:val="24"/>
                <w:szCs w:val="24"/>
              </w:rPr>
              <w:t>սանիտարական, անասնաբուժասանիտարական, կարանտինային բուսասանիտարական միջոցներ,</w:t>
            </w:r>
          </w:p>
          <w:p w:rsidR="000D08A1" w:rsidRPr="00CB405A" w:rsidRDefault="000D08A1" w:rsidP="00880282">
            <w:pPr>
              <w:pStyle w:val="Bodytext20"/>
              <w:shd w:val="clear" w:color="auto" w:fill="auto"/>
              <w:spacing w:before="0" w:after="120" w:line="240" w:lineRule="auto"/>
              <w:ind w:left="661" w:firstLine="426"/>
              <w:jc w:val="left"/>
              <w:rPr>
                <w:rStyle w:val="Bodytext215pt0"/>
                <w:rFonts w:ascii="GHEA Grapalat" w:hAnsi="GHEA Grapalat"/>
                <w:b w:val="0"/>
                <w:spacing w:val="0"/>
                <w:sz w:val="24"/>
                <w:szCs w:val="24"/>
              </w:rPr>
            </w:pPr>
            <w:r w:rsidRPr="00CB405A">
              <w:rPr>
                <w:rStyle w:val="Bodytext215pt0"/>
                <w:rFonts w:ascii="GHEA Grapalat" w:hAnsi="GHEA Grapalat"/>
                <w:b w:val="0"/>
                <w:spacing w:val="0"/>
                <w:sz w:val="24"/>
                <w:szCs w:val="24"/>
              </w:rPr>
              <w:lastRenderedPageBreak/>
              <w:t>ֆինանսական ծառայություններ (բանկային, ապահովագրական),</w:t>
            </w:r>
          </w:p>
          <w:p w:rsidR="000D08A1" w:rsidRPr="00CB405A" w:rsidRDefault="000D08A1" w:rsidP="00880282">
            <w:pPr>
              <w:pStyle w:val="Bodytext20"/>
              <w:shd w:val="clear" w:color="auto" w:fill="auto"/>
              <w:spacing w:before="0" w:after="120" w:line="240" w:lineRule="auto"/>
              <w:ind w:left="661" w:firstLine="426"/>
              <w:jc w:val="left"/>
              <w:rPr>
                <w:rStyle w:val="Bodytext215pt0"/>
                <w:rFonts w:ascii="GHEA Grapalat" w:hAnsi="GHEA Grapalat"/>
                <w:b w:val="0"/>
                <w:spacing w:val="0"/>
                <w:sz w:val="24"/>
                <w:szCs w:val="24"/>
              </w:rPr>
            </w:pPr>
            <w:r w:rsidRPr="00CB405A">
              <w:rPr>
                <w:rStyle w:val="Bodytext215pt0"/>
                <w:rFonts w:ascii="GHEA Grapalat" w:hAnsi="GHEA Grapalat"/>
                <w:b w:val="0"/>
                <w:spacing w:val="0"/>
                <w:sz w:val="24"/>
                <w:szCs w:val="24"/>
              </w:rPr>
              <w:t xml:space="preserve">տրանսպորտ ու փոխադրումներ, </w:t>
            </w:r>
          </w:p>
          <w:p w:rsidR="000D08A1" w:rsidRPr="00CB405A" w:rsidRDefault="000D08A1" w:rsidP="00880282">
            <w:pPr>
              <w:pStyle w:val="Bodytext20"/>
              <w:shd w:val="clear" w:color="auto" w:fill="auto"/>
              <w:spacing w:before="0" w:after="120" w:line="240" w:lineRule="auto"/>
              <w:ind w:left="661" w:firstLine="426"/>
              <w:jc w:val="left"/>
              <w:rPr>
                <w:rFonts w:ascii="GHEA Grapalat" w:hAnsi="GHEA Grapalat"/>
                <w:sz w:val="24"/>
                <w:szCs w:val="24"/>
              </w:rPr>
            </w:pPr>
            <w:r w:rsidRPr="00CB405A">
              <w:rPr>
                <w:rStyle w:val="Bodytext215pt0"/>
                <w:rFonts w:ascii="GHEA Grapalat" w:hAnsi="GHEA Grapalat"/>
                <w:b w:val="0"/>
                <w:spacing w:val="0"/>
                <w:sz w:val="24"/>
                <w:szCs w:val="24"/>
              </w:rPr>
              <w:t>մտավոր</w:t>
            </w:r>
            <w:r w:rsidRPr="00CB405A">
              <w:rPr>
                <w:rStyle w:val="Bodytext215pt"/>
                <w:rFonts w:ascii="GHEA Grapalat" w:hAnsi="GHEA Grapalat"/>
                <w:sz w:val="24"/>
                <w:szCs w:val="24"/>
              </w:rPr>
              <w:t xml:space="preserve"> սեփականության իրավունքների պահպանություն եւ պաշտպանություն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եզրակացություն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lastRenderedPageBreak/>
              <w:t>3.2. Արտաքին տնտեսական գործունեություն իրականացնելու համար անհրաժեշտ փաստաթղթերում, ինչպես նաեւ Միության տարածքում ձեւակերպվող էլեկտրոնային փաստաթղթերում պարունակվող տեղեկությունների միասնականացում եւ ներդաշնակեցում՝ դրանց փոխադարձ ճանաչման նպատակով</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55"/>
              <w:jc w:val="left"/>
              <w:rPr>
                <w:rStyle w:val="Bodytext215pt"/>
                <w:rFonts w:ascii="GHEA Grapalat" w:hAnsi="GHEA Grapalat"/>
                <w:sz w:val="24"/>
                <w:szCs w:val="24"/>
              </w:rPr>
            </w:pPr>
            <w:r w:rsidRPr="00CB405A">
              <w:rPr>
                <w:rStyle w:val="Bodytext215pt"/>
                <w:rFonts w:ascii="GHEA Grapalat" w:hAnsi="GHEA Grapalat"/>
                <w:sz w:val="24"/>
                <w:szCs w:val="24"/>
              </w:rPr>
              <w:t>3.2.1. Էլեկտրոնային փաստաթղթերում պարունակվող՝ արտաքին տնտեսական գործունեություն իրականացնելու համար անհրաժեշտ փաստաթղթերում առկա տեղեկությունների միասնականացում եւ ներդաշնակեցում՝ միջազգային չափորոշիչների հիման վրա ստեղծված՝ Միության տվյալների մոդելի հիման վրա՝ պետական կարգավորման հետեւյալ ոլորտներում.</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մաքսային կարգավորում,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lastRenderedPageBreak/>
              <w:t xml:space="preserve">արժութային կարգավորում,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հարկային կարգավորում,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մաքսասակագնային կարգավորում,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ոչ սակագնային կարգավորում,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տեխնիկական կարգավորում, </w:t>
            </w:r>
          </w:p>
          <w:p w:rsidR="000D08A1" w:rsidRPr="00CB405A" w:rsidRDefault="000D08A1" w:rsidP="00880282">
            <w:pPr>
              <w:pStyle w:val="Bodytext20"/>
              <w:shd w:val="clear" w:color="auto" w:fill="auto"/>
              <w:spacing w:before="0" w:after="120" w:line="240" w:lineRule="auto"/>
              <w:ind w:left="238" w:firstLine="425"/>
              <w:jc w:val="left"/>
              <w:rPr>
                <w:rFonts w:ascii="GHEA Grapalat" w:hAnsi="GHEA Grapalat"/>
                <w:sz w:val="24"/>
                <w:szCs w:val="24"/>
              </w:rPr>
            </w:pPr>
            <w:r w:rsidRPr="00CB405A">
              <w:rPr>
                <w:rStyle w:val="Bodytext215pt"/>
                <w:rFonts w:ascii="GHEA Grapalat" w:hAnsi="GHEA Grapalat"/>
                <w:sz w:val="24"/>
                <w:szCs w:val="24"/>
              </w:rPr>
              <w:t>սանիտարական, անասնաբուժասանիտարական, կարանտինային բուսասանիտարական միջոցներ,</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ֆինանսական ծառայություններ (բանկային, ապահովագրական), </w:t>
            </w:r>
          </w:p>
          <w:p w:rsidR="000D08A1" w:rsidRPr="00CB405A" w:rsidRDefault="000D08A1" w:rsidP="00880282">
            <w:pPr>
              <w:pStyle w:val="Bodytext20"/>
              <w:shd w:val="clear" w:color="auto" w:fill="auto"/>
              <w:spacing w:before="0" w:after="120" w:line="240" w:lineRule="auto"/>
              <w:ind w:left="238" w:firstLine="425"/>
              <w:jc w:val="left"/>
              <w:rPr>
                <w:rStyle w:val="Bodytext215pt"/>
                <w:rFonts w:ascii="GHEA Grapalat" w:hAnsi="GHEA Grapalat"/>
                <w:sz w:val="24"/>
                <w:szCs w:val="24"/>
              </w:rPr>
            </w:pPr>
            <w:r w:rsidRPr="00CB405A">
              <w:rPr>
                <w:rStyle w:val="Bodytext215pt"/>
                <w:rFonts w:ascii="GHEA Grapalat" w:hAnsi="GHEA Grapalat"/>
                <w:sz w:val="24"/>
                <w:szCs w:val="24"/>
              </w:rPr>
              <w:t xml:space="preserve">տրանսպորտ ու փոխադրումներ, </w:t>
            </w:r>
          </w:p>
          <w:p w:rsidR="000D08A1" w:rsidRPr="00CB405A" w:rsidRDefault="000D08A1" w:rsidP="00880282">
            <w:pPr>
              <w:pStyle w:val="Bodytext20"/>
              <w:shd w:val="clear" w:color="auto" w:fill="auto"/>
              <w:spacing w:before="0" w:after="120" w:line="240" w:lineRule="auto"/>
              <w:ind w:left="238" w:firstLine="425"/>
              <w:jc w:val="left"/>
              <w:rPr>
                <w:rFonts w:ascii="GHEA Grapalat" w:hAnsi="GHEA Grapalat"/>
                <w:sz w:val="24"/>
                <w:szCs w:val="24"/>
              </w:rPr>
            </w:pPr>
            <w:r w:rsidRPr="00CB405A">
              <w:rPr>
                <w:rStyle w:val="Bodytext215pt"/>
                <w:rFonts w:ascii="GHEA Grapalat" w:hAnsi="GHEA Grapalat"/>
                <w:sz w:val="24"/>
                <w:szCs w:val="24"/>
              </w:rPr>
              <w:t>մտավոր սեփականության իրավունքների պահպանություն եւ պաշտպանություն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3.3. Անցում արտաքին տնտեսական գործունեություն իրականացնելու համար անհրաժեշտ էլեկտրոնային փաստաթղթերն անդամ պետությունների լիազոր մարմինների կողմից ձեւակերպելուն եւ օգտագործելուն</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 xml:space="preserve">3.3.1. Արտաքին տնտեսական գործունեություն իրականացնելու համար անհրաժեշտ էլեկտրոնային փաստաթղթերի ձեւաչափի եւ կառուցվածքների պարտադիր հաստատման </w:t>
            </w:r>
            <w:r w:rsidRPr="00CB405A">
              <w:rPr>
                <w:rStyle w:val="Bodytext215pt"/>
                <w:rFonts w:ascii="GHEA Grapalat" w:hAnsi="GHEA Grapalat"/>
                <w:sz w:val="24"/>
                <w:szCs w:val="24"/>
              </w:rPr>
              <w:lastRenderedPageBreak/>
              <w:t xml:space="preserve">մասին դրույթների ամրագրում Միության իրավունքի մաս կազմող ակտերում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0837C4">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3.3.2. «Մեկ պատուհանի» ազգային մեխանիզմների զարգացման վրա ազդեցություն ունեցող՝ արտաքին տնտեսական գործունեություն իրականացնելու համար անհրաժեշտ փաստաթղթերի ձեւակերպման եւ օգտագործման հետ կապված՝ Միության իրավունքի մաս կազմող ակտերի նախագծերի համաձայնեցումը համակարգելու կարգի սահմանում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0837C4">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3.3.3. Միջազգային պայմանագրի մշակում, որով սահմանվում են այն դեպքերը, երբ Հանձնաժողովը սահմանում է էլեկտրոնային եղանակով միջպետական տեղեկատվական փոխգործակցության գործընթացում ներկայացվող տեղեկությունների ցանկը</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0837C4">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միջազգային պայմանագրի նախագիծ</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3.3.4. Արտաքին տնտեսական գործունեություն իրականացնելու համար անհրաժեշտ էլեկտրոնային փաստաթղթերի ձեւակերպման եւ օգտագործման մասով Միության իրավունքի մաս կազմող ակտերում եւ անդամ պետությունների օրենսդրության մեջ փոփոխությունների կատարում պետական կարգավորման հետեւյալ </w:t>
            </w:r>
            <w:r w:rsidRPr="00CB405A">
              <w:rPr>
                <w:rStyle w:val="Bodytext215pt"/>
                <w:rFonts w:ascii="GHEA Grapalat" w:hAnsi="GHEA Grapalat"/>
                <w:sz w:val="24"/>
                <w:szCs w:val="24"/>
              </w:rPr>
              <w:lastRenderedPageBreak/>
              <w:t>ոլորտներում.</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մաքսային կարգավորում, </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արժութային կարգավորում, </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հարկային կարգավորում, </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մաքսասակագնային կարգավորում, </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ոչ սակագնային կարգավորում, </w:t>
            </w:r>
          </w:p>
          <w:p w:rsidR="000D08A1" w:rsidRPr="00CB405A" w:rsidRDefault="000D08A1" w:rsidP="00880282">
            <w:pPr>
              <w:pStyle w:val="Bodytext20"/>
              <w:shd w:val="clear" w:color="auto" w:fill="auto"/>
              <w:spacing w:before="0" w:after="120" w:line="240" w:lineRule="auto"/>
              <w:ind w:left="600"/>
              <w:jc w:val="left"/>
              <w:rPr>
                <w:rStyle w:val="Bodytext215pt"/>
                <w:rFonts w:ascii="GHEA Grapalat" w:hAnsi="GHEA Grapalat"/>
                <w:sz w:val="24"/>
                <w:szCs w:val="24"/>
              </w:rPr>
            </w:pPr>
            <w:r w:rsidRPr="00CB405A">
              <w:rPr>
                <w:rStyle w:val="Bodytext215pt"/>
                <w:rFonts w:ascii="GHEA Grapalat" w:hAnsi="GHEA Grapalat"/>
                <w:sz w:val="24"/>
                <w:szCs w:val="24"/>
              </w:rPr>
              <w:t xml:space="preserve">տեխնիկական կարգավորում, </w:t>
            </w:r>
          </w:p>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սանիտարական, անասնաբուժասանիտարական, կարանտինային բուսասանիտարական միջոցներ,</w:t>
            </w:r>
          </w:p>
          <w:p w:rsidR="000D08A1" w:rsidRPr="00CB405A" w:rsidRDefault="000D08A1" w:rsidP="00880282">
            <w:pPr>
              <w:pStyle w:val="Bodytext20"/>
              <w:shd w:val="clear" w:color="auto" w:fill="auto"/>
              <w:spacing w:before="0" w:after="120" w:line="240" w:lineRule="auto"/>
              <w:ind w:left="600" w:firstLine="280"/>
              <w:jc w:val="left"/>
              <w:rPr>
                <w:rFonts w:ascii="GHEA Grapalat" w:hAnsi="GHEA Grapalat"/>
                <w:sz w:val="24"/>
                <w:szCs w:val="24"/>
              </w:rPr>
            </w:pPr>
            <w:r w:rsidRPr="00CB405A">
              <w:rPr>
                <w:rStyle w:val="Bodytext215pt"/>
                <w:rFonts w:ascii="GHEA Grapalat" w:hAnsi="GHEA Grapalat"/>
                <w:sz w:val="24"/>
                <w:szCs w:val="24"/>
              </w:rPr>
              <w:t>ֆինանսական ծառայություններ (բանկային, ապահովագրական),</w:t>
            </w:r>
          </w:p>
          <w:p w:rsidR="000D08A1" w:rsidRPr="00CB405A" w:rsidRDefault="000D08A1" w:rsidP="00880282">
            <w:pPr>
              <w:pStyle w:val="Bodytext20"/>
              <w:shd w:val="clear" w:color="auto" w:fill="auto"/>
              <w:spacing w:before="0" w:after="120" w:line="240" w:lineRule="auto"/>
              <w:ind w:left="600" w:firstLine="280"/>
              <w:jc w:val="left"/>
              <w:rPr>
                <w:rStyle w:val="Bodytext215pt"/>
                <w:rFonts w:ascii="GHEA Grapalat" w:hAnsi="GHEA Grapalat"/>
                <w:sz w:val="24"/>
                <w:szCs w:val="24"/>
              </w:rPr>
            </w:pPr>
            <w:r w:rsidRPr="00CB405A">
              <w:rPr>
                <w:rStyle w:val="Bodytext215pt"/>
                <w:rFonts w:ascii="GHEA Grapalat" w:hAnsi="GHEA Grapalat"/>
                <w:sz w:val="24"/>
                <w:szCs w:val="24"/>
              </w:rPr>
              <w:t xml:space="preserve">տրանսպորտ ու փոխադրումներ, </w:t>
            </w:r>
          </w:p>
          <w:p w:rsidR="000D08A1" w:rsidRPr="00CB405A" w:rsidRDefault="000D08A1" w:rsidP="00880282">
            <w:pPr>
              <w:pStyle w:val="Bodytext20"/>
              <w:shd w:val="clear" w:color="auto" w:fill="auto"/>
              <w:spacing w:before="0" w:after="120" w:line="240" w:lineRule="auto"/>
              <w:ind w:left="600" w:firstLine="280"/>
              <w:jc w:val="left"/>
              <w:rPr>
                <w:rFonts w:ascii="GHEA Grapalat" w:hAnsi="GHEA Grapalat"/>
                <w:sz w:val="24"/>
                <w:szCs w:val="24"/>
              </w:rPr>
            </w:pPr>
            <w:r w:rsidRPr="00CB405A">
              <w:rPr>
                <w:rStyle w:val="Bodytext215pt"/>
                <w:rFonts w:ascii="GHEA Grapalat" w:hAnsi="GHEA Grapalat"/>
                <w:sz w:val="24"/>
                <w:szCs w:val="24"/>
              </w:rPr>
              <w:t>մտավոր սեփականության իրավունքների պահպանություն եւ պաշտպանություն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 անդամ պետությունների օրենսդրության մեջ փոփոխությունների կատարում</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lastRenderedPageBreak/>
              <w:t>3.5. Արտաքին տնտեսական գործունեության սուբյեկտների եզակի նույնականացումն ապահովելու կարգի սահմանում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15351" w:type="dxa"/>
            <w:gridSpan w:val="4"/>
            <w:shd w:val="clear" w:color="auto" w:fill="FFFFFF"/>
          </w:tcPr>
          <w:p w:rsidR="000D08A1" w:rsidRPr="00CB405A" w:rsidRDefault="000D08A1" w:rsidP="00880282">
            <w:pPr>
              <w:pStyle w:val="Bodytext20"/>
              <w:shd w:val="clear" w:color="auto" w:fill="auto"/>
              <w:spacing w:before="0" w:after="120" w:line="240" w:lineRule="auto"/>
              <w:jc w:val="center"/>
              <w:rPr>
                <w:rStyle w:val="Bodytext215pt"/>
                <w:rFonts w:ascii="GHEA Grapalat" w:hAnsi="GHEA Grapalat"/>
                <w:sz w:val="24"/>
                <w:szCs w:val="24"/>
              </w:rPr>
            </w:pPr>
            <w:r w:rsidRPr="00CB405A">
              <w:rPr>
                <w:rStyle w:val="Bodytext215pt"/>
                <w:rFonts w:ascii="GHEA Grapalat" w:hAnsi="GHEA Grapalat"/>
                <w:sz w:val="24"/>
                <w:szCs w:val="24"/>
              </w:rPr>
              <w:t>4. Տեղեկատվական փոխգործակցության կազմակերպում</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4.1. «Մեկ պատուհանի» ազգային մեխանիզմների </w:t>
            </w:r>
            <w:r w:rsidRPr="00CB405A">
              <w:rPr>
                <w:rStyle w:val="Bodytext215pt"/>
                <w:rFonts w:ascii="GHEA Grapalat" w:hAnsi="GHEA Grapalat"/>
                <w:sz w:val="24"/>
                <w:szCs w:val="24"/>
              </w:rPr>
              <w:lastRenderedPageBreak/>
              <w:t>շրջանակներում շահագրգիռ անձանց եւ անդամ պետությունների պետական մարմինների փոխգործակցության ընթացակարգերի միասնականացում</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4.1.1. Անդամ պետությունների պետական մարմինների եւ (կամ) լիազորված կազմակերպությունների հետ շահագրգիռ անձանց տեղեկատվական փոխգործակցությունը նախատեսող մասով Միության իրավունքի մաս կազմող ակտերի եւ անդամ պետությունների օրենսդրության վերլուծություն՝ «մեկ պատուհանի» ազգային մեխանիզմների գործունեության շրջանակներում այդպիսի մարմիններին եւ (կամ) կազմակերպություններին տեղեկություններ տրամադրելիս (այսուհետ՝ В2G ընթացակարգեր)</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4.1.2. «Մեկ պատուհանի» ազգային մեխանիզմների զարգացման ծրագրերի ընդգրկման ոլորտում ներառված В2G ընթացակարգերի ցանկի թարմացման վերաբերյալ առաջարկների նախապատրաստում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 xml:space="preserve">4.1.3. «Մեկ պատուհանի» ազգային մեխանիզմների զարգացման ծրագրերի ընդգրկման ոլորտում ներառված В2G </w:t>
            </w:r>
            <w:r w:rsidRPr="00CB405A">
              <w:rPr>
                <w:rStyle w:val="Bodytext215pt"/>
                <w:rFonts w:ascii="GHEA Grapalat" w:hAnsi="GHEA Grapalat"/>
                <w:sz w:val="24"/>
                <w:szCs w:val="24"/>
              </w:rPr>
              <w:lastRenderedPageBreak/>
              <w:t>ընթացակարգերի իրագործման վերաբերյալ հաշվետվությունների նախապատրաստում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հաշվետվություններ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4.1.4. «Մեկ պատուհանի» ազգային մեխանիզմների գործունեության շրջանակներում В2G ընթացակարգերի միասնականացման համար առաջնահերթ համարվող ցանկի թարմացման վերաբերյալ առաջարկների նախապատրաստում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4.1.5. «Մեկ պատուհանի» ազգային մեխանիզմների գործունեության շրջանակներում միասնականացվող В2G ընթացակարգերի կանոնակարգում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4.1.6. «Մեկ պատուհանի» ազգային մեխանիզմների գործունեության շրջանակներում B2G ընթացակարգերի իրագործում՝ վերազգային մակարդակում սահմանված միասնականացված պահանջներին համապատասխան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միջոցառումների պլաններ (ազգային), հաշվետվություններ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4.2. «Մեկ պատուհանի» ազգային մեխանիզմների գործունեության շրջանակներում միջգերատեսչական տեղեկատվական փոխգործակցության ընթացակարգերի օպտիմալացում</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t xml:space="preserve">4.2.1. «Մեկ պատուհանի» ազգային մեխանիզմների գործունեության շրջանակներում </w:t>
            </w:r>
            <w:r w:rsidRPr="00CB405A">
              <w:rPr>
                <w:rStyle w:val="Bodytext215pt"/>
                <w:rFonts w:ascii="GHEA Grapalat" w:hAnsi="GHEA Grapalat"/>
                <w:sz w:val="24"/>
                <w:szCs w:val="24"/>
              </w:rPr>
              <w:lastRenderedPageBreak/>
              <w:t>միջգերատեսչական տեղեկատվական փոխգործակցության գործընթացների վերլուծություն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rPr>
                <w:rFonts w:ascii="GHEA Grapalat" w:hAnsi="GHEA Grapalat"/>
                <w:sz w:val="24"/>
                <w:szCs w:val="24"/>
              </w:rPr>
            </w:pPr>
            <w:r w:rsidRPr="00CB405A">
              <w:rPr>
                <w:rStyle w:val="Bodytext215pt"/>
                <w:rFonts w:ascii="GHEA Grapalat" w:hAnsi="GHEA Grapalat"/>
                <w:sz w:val="24"/>
                <w:szCs w:val="24"/>
              </w:rPr>
              <w:t>հաշվետվություն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lastRenderedPageBreak/>
              <w:t>4.2.2. «Մեկ պատուհանի» մեխանիզմի զարգացման ծրագրի ընդգրկման ոլորտում ներառված միջգերատեսչական տեղեկատվական փոխգործակցության ընթացակարգերի (այսուհետ՝ G2G ընթացակարգեր) ցանկի թարմացում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ind w:right="208"/>
              <w:rPr>
                <w:rFonts w:ascii="GHEA Grapalat" w:hAnsi="GHEA Grapalat"/>
                <w:sz w:val="24"/>
                <w:szCs w:val="24"/>
              </w:rPr>
            </w:pPr>
            <w:r w:rsidRPr="00CB405A">
              <w:rPr>
                <w:rStyle w:val="Bodytext215pt"/>
                <w:rFonts w:ascii="GHEA Grapalat" w:hAnsi="GHEA Grapalat"/>
                <w:sz w:val="24"/>
                <w:szCs w:val="24"/>
              </w:rPr>
              <w:t>ընթացակարգերի թարմացված ցանկ, շահագրգիռ մարմինների ցանկ</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t>4.2.3. «Մեկ պատուհանի» ազգային մեխանիզմների զարգացման ծրագրերի ընդգրկման ոլորտում ներառված G2G ընթացակարգերի իրագործման վերաբերյալ հաշվետվությունների նախապատրաստում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rPr>
                <w:rFonts w:ascii="GHEA Grapalat" w:hAnsi="GHEA Grapalat"/>
                <w:sz w:val="24"/>
                <w:szCs w:val="24"/>
              </w:rPr>
            </w:pPr>
            <w:r w:rsidRPr="00CB405A">
              <w:rPr>
                <w:rStyle w:val="Bodytext215pt"/>
                <w:rFonts w:ascii="GHEA Grapalat" w:hAnsi="GHEA Grapalat"/>
                <w:sz w:val="24"/>
                <w:szCs w:val="24"/>
              </w:rPr>
              <w:t>հաշվետվություններ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t>4.2.4. «Մեկ պատուհանի» ազգային մեխանիզմների զարգացման ծրագրերի ընդգրկման ոլորտում ներառված G2G պետական ընթացակարգերի օպտիմալացման վերաբերյալ առաջարկների նախապատրաստում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rPr>
                <w:rFonts w:ascii="GHEA Grapalat" w:hAnsi="GHEA Grapalat"/>
                <w:sz w:val="24"/>
                <w:szCs w:val="24"/>
              </w:rPr>
            </w:pPr>
            <w:r w:rsidRPr="00CB405A">
              <w:rPr>
                <w:rStyle w:val="Bodytext215pt"/>
                <w:rFonts w:ascii="GHEA Grapalat" w:hAnsi="GHEA Grapalat"/>
                <w:sz w:val="24"/>
                <w:szCs w:val="24"/>
              </w:rPr>
              <w:t>առաջարկներ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t xml:space="preserve">4.2.5. «Մեկ պատուհանի» ազգային մեխանիզմների զարգացման ծրագրերի ընդգրկման ոլորտում ներառված G2G տիպային </w:t>
            </w:r>
            <w:r w:rsidRPr="00CB405A">
              <w:rPr>
                <w:rStyle w:val="Bodytext215pt"/>
                <w:rFonts w:ascii="GHEA Grapalat" w:hAnsi="GHEA Grapalat"/>
                <w:sz w:val="24"/>
                <w:szCs w:val="24"/>
              </w:rPr>
              <w:lastRenderedPageBreak/>
              <w:t>ընթացակարգերի իրագործման վերաբերյալ առաջարկությունների նախապատրաստում՝ «մեկ պատուհանի» ազգային մեխանիզմների զարգացման հետ կապված մոտեցումների մոտարկման շրջանակներում անդամ պետություններում կիրառելու համար</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599" w:right="108"/>
              <w:jc w:val="left"/>
              <w:rPr>
                <w:rFonts w:ascii="GHEA Grapalat" w:hAnsi="GHEA Grapalat"/>
                <w:sz w:val="24"/>
                <w:szCs w:val="24"/>
              </w:rPr>
            </w:pPr>
            <w:r w:rsidRPr="00CB405A">
              <w:rPr>
                <w:rStyle w:val="Bodytext215pt"/>
                <w:rFonts w:ascii="GHEA Grapalat" w:hAnsi="GHEA Grapalat"/>
                <w:sz w:val="24"/>
                <w:szCs w:val="24"/>
              </w:rPr>
              <w:lastRenderedPageBreak/>
              <w:t>4.2.6. G2G ընթացակարգերի իրագործում՝ սույն պլանի 4.2.5 կետում նշված առաջարկություններին համապատասխան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միջոցառումների պլաններ (ազգային), հաշվետվություններ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4.3. Միության շրջանակներում՝ «մեկ պատուհանի» ազգային մեխանիզմների գործունեության ապահովման ընթացքում գործողության մեջ դրված ընդհանուր գործընթացների օպտիմալացում եւ իրագործում</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4.3.1. Միության իրավունքի եւ անդամ պետությունների օրենսդրության վերլուծության իրականացում՝ դրանում փոփոխություններ կատարելու անհրաժեշտության սահմանման մասով՝ «մեկ պատուհանի» ազգային մեխանիզմների միջեւ միջպետական տեղեկատվական փոխգործակցության իրագործումն ապահովելու նպատակով</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հաշվետվություններ, 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lastRenderedPageBreak/>
              <w:t xml:space="preserve">4.3.2. Միջպետական տեղակատվական փոխգործակցության գործընթացների (Միության շրջանակներում ընդհանուր գործընթացների) մոնիթորինգի անցկացում՝ «մեկ պատուհանի» ազգային մեխանիզմների գործունեությունն ապահովելու նպատակով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4.3.3. Եվրասիական տնտեսական միության շրջանակներում ընդհանուր գործընթացների ցանկի թարմացման վերաբերյալ առաջարկների նախապատրաստում՝ «մեկ պատուհանի» ազգային մեխանիզմների փոխգործակցության ապահովման մասով</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ընդհանուր գործընթացների թարմացված ցանկ, 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 xml:space="preserve">4.3.4. Միության շրջանակներում՝ «մեկ պատուհանի» ազգային մեխանիզմների գործունեության ապահովման ընթացքում գործողության մեջ դրված ընդհանուր գործընթացների կանոնակարգում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տեխնոլոգիական կանոնակարգեր, 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t xml:space="preserve">4.3.5. Միության տվյալների մոդելի զարգացում՝ «մեկ պատուհանի» ազգային մեխանիզմների գործունեության ապահովման ընթացքում գործողության մեջ դրված ընդհանուր գործընթացների իրագործման առարկայական </w:t>
            </w:r>
            <w:r w:rsidRPr="00CB405A">
              <w:rPr>
                <w:rStyle w:val="Bodytext215pt"/>
                <w:rFonts w:ascii="GHEA Grapalat" w:hAnsi="GHEA Grapalat"/>
                <w:sz w:val="24"/>
                <w:szCs w:val="24"/>
              </w:rPr>
              <w:lastRenderedPageBreak/>
              <w:t>ոլորտների շրջանակներում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տվյալների պաշտոնականացված մոդել, տվյալների մոդելի նկարագիր, 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27"/>
              <w:jc w:val="left"/>
              <w:rPr>
                <w:rFonts w:ascii="GHEA Grapalat" w:hAnsi="GHEA Grapalat"/>
                <w:sz w:val="24"/>
                <w:szCs w:val="24"/>
              </w:rPr>
            </w:pPr>
            <w:r w:rsidRPr="00CB405A">
              <w:rPr>
                <w:rStyle w:val="Bodytext215pt"/>
                <w:rFonts w:ascii="GHEA Grapalat" w:hAnsi="GHEA Grapalat"/>
                <w:sz w:val="24"/>
                <w:szCs w:val="24"/>
              </w:rPr>
              <w:lastRenderedPageBreak/>
              <w:t>4.3.6. Միության շրջանակներում՝ «մեկ պատուհանի» ազգային մեխանիզմների գործունեության ապահովման ընթացքում գործողության մեջ դրված ընդհանուր գործընթացների իրագործում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դեկտեմբեր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տեխնիկական փաստաթղթեր,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4.4. Շահագրգիռ անձանց կողմից «մեկ պատուհանի» ազգային մեխանիզմների օգտագործման ընթացակարգերի պարզեցում</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4.4.1. «Մեկ պատուհանի» ազգային մեխանիզմների օգտագործման ժամանակ շահագրգիռ անձանց միջեւ փոխգործակցության գործընթացների եւ ընթացակարգերի վերլուծություն</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սեպտեմբեր</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հաշվետվություն</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4.5. Միության՝ «Մեկ պատուհանի» ազգային մեխանիզմների գործունեությունն ապահովելու համար անհրաժեշտ նորմատիվ-տեղեկատվական տեղեկությունների միասնական համակարգի ձեւավորում եւ զարգացում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15351" w:type="dxa"/>
            <w:gridSpan w:val="4"/>
            <w:shd w:val="clear" w:color="auto" w:fill="FFFFFF"/>
          </w:tcPr>
          <w:p w:rsidR="000D08A1" w:rsidRPr="00CB405A" w:rsidRDefault="000D08A1" w:rsidP="00880282">
            <w:pPr>
              <w:pStyle w:val="Bodytext20"/>
              <w:shd w:val="clear" w:color="auto" w:fill="auto"/>
              <w:spacing w:before="0" w:after="120" w:line="240" w:lineRule="auto"/>
              <w:jc w:val="center"/>
              <w:rPr>
                <w:rStyle w:val="Bodytext215pt"/>
                <w:rFonts w:ascii="GHEA Grapalat" w:hAnsi="GHEA Grapalat"/>
                <w:sz w:val="24"/>
                <w:szCs w:val="24"/>
              </w:rPr>
            </w:pPr>
            <w:r w:rsidRPr="00CB405A">
              <w:rPr>
                <w:rStyle w:val="Bodytext215pt"/>
                <w:rFonts w:ascii="GHEA Grapalat" w:hAnsi="GHEA Grapalat"/>
                <w:sz w:val="24"/>
                <w:szCs w:val="24"/>
              </w:rPr>
              <w:t>5. Հասկացութային ապարատի ձեւավորում</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right="186"/>
              <w:jc w:val="left"/>
              <w:rPr>
                <w:rFonts w:ascii="GHEA Grapalat" w:hAnsi="GHEA Grapalat"/>
                <w:sz w:val="24"/>
                <w:szCs w:val="24"/>
              </w:rPr>
            </w:pPr>
            <w:r w:rsidRPr="00CB405A">
              <w:rPr>
                <w:rStyle w:val="Bodytext215pt"/>
                <w:rFonts w:ascii="GHEA Grapalat" w:hAnsi="GHEA Grapalat"/>
                <w:sz w:val="24"/>
                <w:szCs w:val="24"/>
              </w:rPr>
              <w:t xml:space="preserve">5.1. Հիմնական ուղղություններն իրագործելիս </w:t>
            </w:r>
            <w:r w:rsidRPr="00CB405A">
              <w:rPr>
                <w:rStyle w:val="Bodytext215pt"/>
                <w:rFonts w:ascii="GHEA Grapalat" w:hAnsi="GHEA Grapalat"/>
                <w:sz w:val="24"/>
                <w:szCs w:val="24"/>
              </w:rPr>
              <w:lastRenderedPageBreak/>
              <w:t>օգտագործվող եզրույթների բառարանի մշակում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ind w:left="140" w:right="186"/>
              <w:jc w:val="left"/>
              <w:rPr>
                <w:rFonts w:ascii="GHEA Grapalat" w:hAnsi="GHEA Grapalat"/>
                <w:sz w:val="24"/>
                <w:szCs w:val="24"/>
              </w:rPr>
            </w:pPr>
            <w:r w:rsidRPr="00CB405A">
              <w:rPr>
                <w:rStyle w:val="Bodytext215pt"/>
                <w:rFonts w:ascii="GHEA Grapalat" w:hAnsi="GHEA Grapalat"/>
                <w:sz w:val="24"/>
                <w:szCs w:val="24"/>
              </w:rPr>
              <w:lastRenderedPageBreak/>
              <w:t xml:space="preserve">2015 թվականի IV </w:t>
            </w:r>
            <w:r w:rsidRPr="00CB405A">
              <w:rPr>
                <w:rStyle w:val="Bodytext215pt"/>
                <w:rFonts w:ascii="GHEA Grapalat" w:hAnsi="GHEA Grapalat"/>
                <w:sz w:val="24"/>
                <w:szCs w:val="24"/>
              </w:rPr>
              <w:lastRenderedPageBreak/>
              <w:t>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ind w:left="140" w:right="186"/>
              <w:jc w:val="left"/>
              <w:rPr>
                <w:rFonts w:ascii="GHEA Grapalat" w:hAnsi="GHEA Grapalat"/>
                <w:sz w:val="24"/>
                <w:szCs w:val="24"/>
              </w:rPr>
            </w:pPr>
            <w:r w:rsidRPr="00CB405A">
              <w:rPr>
                <w:rStyle w:val="Bodytext215pt"/>
                <w:rFonts w:ascii="GHEA Grapalat" w:hAnsi="GHEA Grapalat"/>
                <w:sz w:val="24"/>
                <w:szCs w:val="24"/>
              </w:rPr>
              <w:lastRenderedPageBreak/>
              <w:t xml:space="preserve">Հանձնաժողով, անդամ </w:t>
            </w:r>
            <w:r w:rsidRPr="00CB405A">
              <w:rPr>
                <w:rStyle w:val="Bodytext215pt"/>
                <w:rFonts w:ascii="GHEA Grapalat" w:hAnsi="GHEA Grapalat"/>
                <w:sz w:val="24"/>
                <w:szCs w:val="24"/>
              </w:rPr>
              <w:lastRenderedPageBreak/>
              <w:t>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ind w:left="140" w:right="186"/>
              <w:jc w:val="left"/>
              <w:rPr>
                <w:rFonts w:ascii="GHEA Grapalat" w:hAnsi="GHEA Grapalat"/>
                <w:sz w:val="24"/>
                <w:szCs w:val="24"/>
              </w:rPr>
            </w:pPr>
            <w:r w:rsidRPr="00CB405A">
              <w:rPr>
                <w:rStyle w:val="Bodytext215pt"/>
                <w:rFonts w:ascii="GHEA Grapalat" w:hAnsi="GHEA Grapalat"/>
                <w:sz w:val="24"/>
                <w:szCs w:val="24"/>
              </w:rPr>
              <w:lastRenderedPageBreak/>
              <w:t>Միության մարմնի ակտ</w:t>
            </w:r>
          </w:p>
        </w:tc>
      </w:tr>
      <w:tr w:rsidR="000D08A1" w:rsidRPr="00CB405A" w:rsidTr="000837C4">
        <w:trPr>
          <w:jc w:val="center"/>
        </w:trPr>
        <w:tc>
          <w:tcPr>
            <w:tcW w:w="15351" w:type="dxa"/>
            <w:gridSpan w:val="4"/>
            <w:shd w:val="clear" w:color="auto" w:fill="FFFFFF"/>
          </w:tcPr>
          <w:p w:rsidR="000D08A1" w:rsidRPr="00CB405A" w:rsidRDefault="000D08A1" w:rsidP="000837C4">
            <w:pPr>
              <w:pStyle w:val="Bodytext20"/>
              <w:shd w:val="clear" w:color="auto" w:fill="auto"/>
              <w:spacing w:before="0" w:after="120" w:line="240" w:lineRule="auto"/>
              <w:ind w:left="2224" w:right="2334"/>
              <w:jc w:val="center"/>
              <w:rPr>
                <w:rStyle w:val="Bodytext215pt"/>
                <w:rFonts w:ascii="GHEA Grapalat" w:hAnsi="GHEA Grapalat"/>
                <w:sz w:val="24"/>
                <w:szCs w:val="24"/>
              </w:rPr>
            </w:pPr>
            <w:r w:rsidRPr="00CB405A">
              <w:rPr>
                <w:rStyle w:val="Bodytext215pt"/>
                <w:rFonts w:ascii="GHEA Grapalat" w:hAnsi="GHEA Grapalat"/>
                <w:sz w:val="24"/>
                <w:szCs w:val="24"/>
              </w:rPr>
              <w:lastRenderedPageBreak/>
              <w:t>6. Միջոցառումների պլանի իրագործումն ապահովող կազմակերպչական մեխանիզմ (կառավարման մեխանիզմ)</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6.1. Կառավարման մեխանիզմի կազմակերպչական կառուցվածքի մշակում եւ հաստատում</w:t>
            </w:r>
          </w:p>
        </w:tc>
        <w:tc>
          <w:tcPr>
            <w:tcW w:w="2515" w:type="dxa"/>
            <w:shd w:val="clear" w:color="auto" w:fill="FFFFFF"/>
          </w:tcPr>
          <w:p w:rsidR="000D08A1" w:rsidRPr="00CB405A" w:rsidRDefault="000D08A1" w:rsidP="00880282">
            <w:pPr>
              <w:spacing w:after="120"/>
              <w:rPr>
                <w:rFonts w:ascii="GHEA Grapalat" w:hAnsi="GHEA Grapalat"/>
              </w:rPr>
            </w:pPr>
          </w:p>
        </w:tc>
        <w:tc>
          <w:tcPr>
            <w:tcW w:w="3118" w:type="dxa"/>
            <w:shd w:val="clear" w:color="auto" w:fill="FFFFFF"/>
          </w:tcPr>
          <w:p w:rsidR="000D08A1" w:rsidRPr="00CB405A" w:rsidRDefault="000D08A1" w:rsidP="00880282">
            <w:pPr>
              <w:spacing w:after="120"/>
              <w:rPr>
                <w:rFonts w:ascii="GHEA Grapalat" w:hAnsi="GHEA Grapalat"/>
              </w:rPr>
            </w:pPr>
          </w:p>
        </w:tc>
        <w:tc>
          <w:tcPr>
            <w:tcW w:w="3462" w:type="dxa"/>
            <w:shd w:val="clear" w:color="auto" w:fill="FFFFFF"/>
          </w:tcPr>
          <w:p w:rsidR="000D08A1" w:rsidRPr="00CB405A" w:rsidRDefault="000D08A1" w:rsidP="00880282">
            <w:pPr>
              <w:spacing w:after="120"/>
              <w:rPr>
                <w:rFonts w:ascii="GHEA Grapalat" w:hAnsi="GHEA Grapalat"/>
              </w:rPr>
            </w:pP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 xml:space="preserve">6.1.1. Կանոնակարգի, դրույթների մշակում՝ կառավարման մեխանիզմի կազմակերպչական կառուցվածքի յուրաքանչյուր բաղկացուցչի (այսուհետ՝ կազմակերպչական կառուցվածքի կառավարչական տարր) դերի, գործառույթների, լիազորությունների նկարագրությամբ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 xml:space="preserve">6.1.2. Միջոցառումների պլանի եւ «մեկ պատուհանի» ազգային մեխանիզմի ստեղծման ու զարգացման ծրագրի իրագործման ռազմավարական եւ տակտիկական կառավարում իրականացնող անձանց լիազորությունների սահմանում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 xml:space="preserve">6.2.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իրագործման հարցերով աշխատանքային խմբի (այսուհետ՝ </w:t>
            </w:r>
            <w:r w:rsidRPr="00CB405A">
              <w:rPr>
                <w:rStyle w:val="Bodytext215pt"/>
                <w:rFonts w:ascii="GHEA Grapalat" w:hAnsi="GHEA Grapalat"/>
                <w:sz w:val="24"/>
                <w:szCs w:val="24"/>
              </w:rPr>
              <w:lastRenderedPageBreak/>
              <w:t>աշխատանքային խումբ) ստեղծում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lastRenderedPageBreak/>
              <w:t>2015 թվականի III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մարմինների ակտեր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lastRenderedPageBreak/>
              <w:t>6.2.1. Աշխատանքային խմբի կազմի՝ ներառյալ դրա ղեկավարի, կազմակերպչական կառուցվածքի կառավարչական տարրերի սահմանում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600"/>
              <w:jc w:val="left"/>
              <w:rPr>
                <w:rFonts w:ascii="GHEA Grapalat" w:hAnsi="GHEA Grapalat"/>
                <w:sz w:val="24"/>
                <w:szCs w:val="24"/>
              </w:rPr>
            </w:pPr>
            <w:r w:rsidRPr="00CB405A">
              <w:rPr>
                <w:rStyle w:val="Bodytext215pt"/>
                <w:rFonts w:ascii="GHEA Grapalat" w:hAnsi="GHEA Grapalat"/>
                <w:sz w:val="24"/>
                <w:szCs w:val="24"/>
              </w:rPr>
              <w:t>6.2.2. Աշխատանքային խմբին առընթեր՝ թեմատիկ փորձագիտական խմբերի ստեղծում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հուլիս-օգոստոս</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Միության մարմնի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6.3. Հիմնական ուղղությունների իրագործման համար պատասխանատու լիազոր մարմինների սահմանում՝ անդամ պետությունների կողմից </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III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պետության կառավարության ակտ</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6.4. Միջոցառումների պլանի եւ սույն պլանի իրագործման համար լիազորված համակարգող (խորհրդատվական) մարմինների ստեղծում՝ անդամ պետությունների կողմից</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III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անդամ պետության կառավարության ակտ</w:t>
            </w:r>
          </w:p>
        </w:tc>
      </w:tr>
      <w:tr w:rsidR="000D08A1" w:rsidRPr="00CB405A" w:rsidTr="000837C4">
        <w:trPr>
          <w:jc w:val="center"/>
        </w:trPr>
        <w:tc>
          <w:tcPr>
            <w:tcW w:w="15351" w:type="dxa"/>
            <w:gridSpan w:val="4"/>
            <w:shd w:val="clear" w:color="auto" w:fill="FFFFFF"/>
          </w:tcPr>
          <w:p w:rsidR="000D08A1" w:rsidRPr="00CB405A" w:rsidRDefault="000D08A1" w:rsidP="00880282">
            <w:pPr>
              <w:pStyle w:val="Bodytext20"/>
              <w:shd w:val="clear" w:color="auto" w:fill="auto"/>
              <w:spacing w:before="0" w:after="120" w:line="240" w:lineRule="auto"/>
              <w:jc w:val="center"/>
              <w:rPr>
                <w:rStyle w:val="Bodytext215pt"/>
                <w:rFonts w:ascii="GHEA Grapalat" w:hAnsi="GHEA Grapalat"/>
                <w:sz w:val="24"/>
                <w:szCs w:val="24"/>
              </w:rPr>
            </w:pPr>
            <w:r w:rsidRPr="00CB405A">
              <w:rPr>
                <w:rStyle w:val="Bodytext215pt"/>
                <w:rFonts w:ascii="GHEA Grapalat" w:hAnsi="GHEA Grapalat"/>
                <w:sz w:val="24"/>
                <w:szCs w:val="24"/>
              </w:rPr>
              <w:t>7. Կազմակերպչական հարցեր</w:t>
            </w:r>
          </w:p>
        </w:tc>
      </w:tr>
      <w:tr w:rsidR="000D08A1" w:rsidRPr="00CB405A"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t>7.1. «Մեկ պատուհանի» մեխանիզմի մասսայականացում. աշխատանք ԶԼՄ-ների հետ, Հիմնական ուղղությունների եւ միջոցառումների պլանի իրագործման վերաբերյալ բաց քննարկումների, սեմինարների, համաժողովների կազմակերպում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 xml:space="preserve">համաժողովների կազմակերպում, տեղեկատու տեղեկատվության հրապարակում, հոդվածների նախապատրաստում, ժողովածուների, բրոշյուրների </w:t>
            </w:r>
            <w:r w:rsidRPr="00CB405A">
              <w:rPr>
                <w:rStyle w:val="Bodytext215pt"/>
                <w:rFonts w:ascii="GHEA Grapalat" w:hAnsi="GHEA Grapalat"/>
                <w:sz w:val="24"/>
                <w:szCs w:val="24"/>
              </w:rPr>
              <w:lastRenderedPageBreak/>
              <w:t>հրատարակում</w:t>
            </w:r>
          </w:p>
        </w:tc>
      </w:tr>
      <w:tr w:rsidR="000D08A1" w:rsidRPr="00BD1230" w:rsidTr="000837C4">
        <w:trPr>
          <w:jc w:val="center"/>
        </w:trPr>
        <w:tc>
          <w:tcPr>
            <w:tcW w:w="6256" w:type="dxa"/>
            <w:shd w:val="clear" w:color="auto" w:fill="FFFFFF"/>
          </w:tcPr>
          <w:p w:rsidR="000D08A1" w:rsidRPr="00CB405A" w:rsidRDefault="000D08A1" w:rsidP="00880282">
            <w:pPr>
              <w:pStyle w:val="Bodytext20"/>
              <w:shd w:val="clear" w:color="auto" w:fill="auto"/>
              <w:spacing w:before="0" w:after="120" w:line="240" w:lineRule="auto"/>
              <w:ind w:left="140"/>
              <w:jc w:val="left"/>
              <w:rPr>
                <w:rFonts w:ascii="GHEA Grapalat" w:hAnsi="GHEA Grapalat"/>
                <w:sz w:val="24"/>
                <w:szCs w:val="24"/>
              </w:rPr>
            </w:pPr>
            <w:r w:rsidRPr="00CB405A">
              <w:rPr>
                <w:rStyle w:val="Bodytext215pt"/>
                <w:rFonts w:ascii="GHEA Grapalat" w:hAnsi="GHEA Grapalat"/>
                <w:sz w:val="24"/>
                <w:szCs w:val="24"/>
              </w:rPr>
              <w:lastRenderedPageBreak/>
              <w:t>7.2. Հիմնական ուղղությունների եւ միջոցառումների պլանի իրագործման մասով կատարված աշխատանքի վերաբերյալ հաշվետվությունների նախապատրաստում եւ հրապարակում</w:t>
            </w:r>
          </w:p>
        </w:tc>
        <w:tc>
          <w:tcPr>
            <w:tcW w:w="2515"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2015 թվականի IV եռամսյակ</w:t>
            </w:r>
          </w:p>
        </w:tc>
        <w:tc>
          <w:tcPr>
            <w:tcW w:w="3118" w:type="dxa"/>
            <w:shd w:val="clear" w:color="auto" w:fill="FFFFFF"/>
          </w:tcPr>
          <w:p w:rsidR="000D08A1" w:rsidRPr="00CB405A" w:rsidRDefault="000D08A1" w:rsidP="00880282">
            <w:pPr>
              <w:pStyle w:val="Bodytext20"/>
              <w:shd w:val="clear" w:color="auto" w:fill="auto"/>
              <w:spacing w:before="0" w:after="120" w:line="240" w:lineRule="auto"/>
              <w:jc w:val="left"/>
              <w:rPr>
                <w:rFonts w:ascii="GHEA Grapalat" w:hAnsi="GHEA Grapalat"/>
                <w:sz w:val="24"/>
                <w:szCs w:val="24"/>
              </w:rPr>
            </w:pPr>
            <w:r w:rsidRPr="00CB405A">
              <w:rPr>
                <w:rStyle w:val="Bodytext215pt"/>
                <w:rFonts w:ascii="GHEA Grapalat" w:hAnsi="GHEA Grapalat"/>
                <w:sz w:val="24"/>
                <w:szCs w:val="24"/>
              </w:rPr>
              <w:t>Հանձնաժողով, անդամ պետություններ</w:t>
            </w:r>
          </w:p>
        </w:tc>
        <w:tc>
          <w:tcPr>
            <w:tcW w:w="3462" w:type="dxa"/>
            <w:shd w:val="clear" w:color="auto" w:fill="FFFFFF"/>
          </w:tcPr>
          <w:p w:rsidR="000D08A1" w:rsidRPr="00BD1230" w:rsidRDefault="000D08A1" w:rsidP="00880282">
            <w:pPr>
              <w:spacing w:after="120"/>
              <w:rPr>
                <w:rFonts w:ascii="GHEA Grapalat" w:hAnsi="GHEA Grapalat"/>
              </w:rPr>
            </w:pPr>
            <w:r w:rsidRPr="00CB405A">
              <w:rPr>
                <w:rStyle w:val="Bodytext215pt"/>
                <w:rFonts w:ascii="GHEA Grapalat" w:eastAsia="Sylfaen" w:hAnsi="GHEA Grapalat"/>
                <w:sz w:val="24"/>
                <w:szCs w:val="24"/>
              </w:rPr>
              <w:t>«Ինտերնետ» տեղեկատվական-հեռահաղորդակցության ցանցում՝ Միության կայքում հրապարակում</w:t>
            </w:r>
          </w:p>
        </w:tc>
      </w:tr>
    </w:tbl>
    <w:p w:rsidR="005866FA" w:rsidRPr="00BD1230" w:rsidRDefault="005866FA" w:rsidP="00204374">
      <w:pPr>
        <w:rPr>
          <w:rFonts w:ascii="GHEA Grapalat" w:hAnsi="GHEA Grapalat"/>
        </w:rPr>
      </w:pPr>
    </w:p>
    <w:sectPr w:rsidR="005866FA" w:rsidRPr="00BD1230" w:rsidSect="00482A1B">
      <w:headerReference w:type="first" r:id="rId9"/>
      <w:pgSz w:w="16840" w:h="11900" w:orient="landscape"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96" w:rsidRDefault="00C11396" w:rsidP="005866FA">
      <w:r>
        <w:separator/>
      </w:r>
    </w:p>
  </w:endnote>
  <w:endnote w:type="continuationSeparator" w:id="0">
    <w:p w:rsidR="00C11396" w:rsidRDefault="00C11396" w:rsidP="0058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96" w:rsidRDefault="00C11396"/>
  </w:footnote>
  <w:footnote w:type="continuationSeparator" w:id="0">
    <w:p w:rsidR="00C11396" w:rsidRDefault="00C113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1B" w:rsidRDefault="00482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0744"/>
    <w:multiLevelType w:val="multilevel"/>
    <w:tmpl w:val="F7924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866FA"/>
    <w:rsid w:val="00014DDC"/>
    <w:rsid w:val="00025FEC"/>
    <w:rsid w:val="000837C4"/>
    <w:rsid w:val="00090B2F"/>
    <w:rsid w:val="000B63D1"/>
    <w:rsid w:val="000C36EF"/>
    <w:rsid w:val="000D067E"/>
    <w:rsid w:val="000D08A1"/>
    <w:rsid w:val="000E7D69"/>
    <w:rsid w:val="000F0A36"/>
    <w:rsid w:val="000F1784"/>
    <w:rsid w:val="000F28DB"/>
    <w:rsid w:val="00102C72"/>
    <w:rsid w:val="001050EE"/>
    <w:rsid w:val="00117A3D"/>
    <w:rsid w:val="00121F97"/>
    <w:rsid w:val="001353EC"/>
    <w:rsid w:val="001735D2"/>
    <w:rsid w:val="00193BDE"/>
    <w:rsid w:val="001B3163"/>
    <w:rsid w:val="001B637E"/>
    <w:rsid w:val="00204374"/>
    <w:rsid w:val="00244CCE"/>
    <w:rsid w:val="00250F9C"/>
    <w:rsid w:val="00256169"/>
    <w:rsid w:val="002A2D9F"/>
    <w:rsid w:val="002B08C7"/>
    <w:rsid w:val="002B1F97"/>
    <w:rsid w:val="002D106F"/>
    <w:rsid w:val="002E50AD"/>
    <w:rsid w:val="002E5DD5"/>
    <w:rsid w:val="002F5036"/>
    <w:rsid w:val="00315CB4"/>
    <w:rsid w:val="003702D1"/>
    <w:rsid w:val="00380110"/>
    <w:rsid w:val="00383961"/>
    <w:rsid w:val="003846DF"/>
    <w:rsid w:val="003D01C1"/>
    <w:rsid w:val="003D726B"/>
    <w:rsid w:val="003E3ED8"/>
    <w:rsid w:val="003F4C88"/>
    <w:rsid w:val="00402542"/>
    <w:rsid w:val="00476679"/>
    <w:rsid w:val="00482A1B"/>
    <w:rsid w:val="004835AE"/>
    <w:rsid w:val="004A700F"/>
    <w:rsid w:val="004E1B4D"/>
    <w:rsid w:val="00501788"/>
    <w:rsid w:val="00510536"/>
    <w:rsid w:val="005450F7"/>
    <w:rsid w:val="005703D5"/>
    <w:rsid w:val="00582BB7"/>
    <w:rsid w:val="005866FA"/>
    <w:rsid w:val="005B2889"/>
    <w:rsid w:val="005D5436"/>
    <w:rsid w:val="005D5748"/>
    <w:rsid w:val="005E3F95"/>
    <w:rsid w:val="005E452B"/>
    <w:rsid w:val="005F0C79"/>
    <w:rsid w:val="00604D76"/>
    <w:rsid w:val="006062F6"/>
    <w:rsid w:val="00645376"/>
    <w:rsid w:val="00645412"/>
    <w:rsid w:val="00650E11"/>
    <w:rsid w:val="00651BF3"/>
    <w:rsid w:val="00653C34"/>
    <w:rsid w:val="00666D17"/>
    <w:rsid w:val="006976A6"/>
    <w:rsid w:val="006B5F6C"/>
    <w:rsid w:val="006D7E61"/>
    <w:rsid w:val="006F1B6C"/>
    <w:rsid w:val="006F7B4C"/>
    <w:rsid w:val="007458A0"/>
    <w:rsid w:val="00775901"/>
    <w:rsid w:val="007935EB"/>
    <w:rsid w:val="007B70FD"/>
    <w:rsid w:val="007C11A9"/>
    <w:rsid w:val="007C211D"/>
    <w:rsid w:val="007C5705"/>
    <w:rsid w:val="007C588B"/>
    <w:rsid w:val="007D4467"/>
    <w:rsid w:val="007F67C6"/>
    <w:rsid w:val="007F7472"/>
    <w:rsid w:val="008017F8"/>
    <w:rsid w:val="00835D0F"/>
    <w:rsid w:val="00836DFE"/>
    <w:rsid w:val="00844F13"/>
    <w:rsid w:val="00867372"/>
    <w:rsid w:val="00880282"/>
    <w:rsid w:val="00884126"/>
    <w:rsid w:val="008E4031"/>
    <w:rsid w:val="008E702D"/>
    <w:rsid w:val="00923B65"/>
    <w:rsid w:val="00930590"/>
    <w:rsid w:val="00930998"/>
    <w:rsid w:val="00972F2C"/>
    <w:rsid w:val="0099497F"/>
    <w:rsid w:val="009A751E"/>
    <w:rsid w:val="009C1604"/>
    <w:rsid w:val="009C69E1"/>
    <w:rsid w:val="00A0075C"/>
    <w:rsid w:val="00A02C10"/>
    <w:rsid w:val="00A515CE"/>
    <w:rsid w:val="00A522D2"/>
    <w:rsid w:val="00A97489"/>
    <w:rsid w:val="00AC6C72"/>
    <w:rsid w:val="00B01702"/>
    <w:rsid w:val="00B24A9B"/>
    <w:rsid w:val="00B3015E"/>
    <w:rsid w:val="00B32384"/>
    <w:rsid w:val="00B62A16"/>
    <w:rsid w:val="00BA223E"/>
    <w:rsid w:val="00BA34AF"/>
    <w:rsid w:val="00BB44E0"/>
    <w:rsid w:val="00BB6B97"/>
    <w:rsid w:val="00BD1230"/>
    <w:rsid w:val="00C11396"/>
    <w:rsid w:val="00C239D3"/>
    <w:rsid w:val="00C342E4"/>
    <w:rsid w:val="00C77085"/>
    <w:rsid w:val="00C82BFE"/>
    <w:rsid w:val="00C85BC2"/>
    <w:rsid w:val="00CB405A"/>
    <w:rsid w:val="00CB6048"/>
    <w:rsid w:val="00CD2E89"/>
    <w:rsid w:val="00CD7D87"/>
    <w:rsid w:val="00D10ADF"/>
    <w:rsid w:val="00D22B77"/>
    <w:rsid w:val="00D2742B"/>
    <w:rsid w:val="00D5019B"/>
    <w:rsid w:val="00D563A2"/>
    <w:rsid w:val="00D63D6F"/>
    <w:rsid w:val="00D776BA"/>
    <w:rsid w:val="00D90B80"/>
    <w:rsid w:val="00D94452"/>
    <w:rsid w:val="00DA120C"/>
    <w:rsid w:val="00DB2279"/>
    <w:rsid w:val="00DE46F6"/>
    <w:rsid w:val="00DE6B14"/>
    <w:rsid w:val="00DE7110"/>
    <w:rsid w:val="00E123D5"/>
    <w:rsid w:val="00E321A9"/>
    <w:rsid w:val="00E42010"/>
    <w:rsid w:val="00E67302"/>
    <w:rsid w:val="00E75500"/>
    <w:rsid w:val="00E87981"/>
    <w:rsid w:val="00EA4809"/>
    <w:rsid w:val="00EA4AB4"/>
    <w:rsid w:val="00EA6DCA"/>
    <w:rsid w:val="00EC14AB"/>
    <w:rsid w:val="00EC59C3"/>
    <w:rsid w:val="00EE402A"/>
    <w:rsid w:val="00EE44F8"/>
    <w:rsid w:val="00EE796B"/>
    <w:rsid w:val="00F04D72"/>
    <w:rsid w:val="00F10F0D"/>
    <w:rsid w:val="00F20A5A"/>
    <w:rsid w:val="00F34E8D"/>
    <w:rsid w:val="00F57110"/>
    <w:rsid w:val="00F647F8"/>
    <w:rsid w:val="00F6789D"/>
    <w:rsid w:val="00F9776D"/>
    <w:rsid w:val="00FE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6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66FA"/>
    <w:rPr>
      <w:color w:val="000080"/>
      <w:u w:val="single"/>
    </w:rPr>
  </w:style>
  <w:style w:type="character" w:customStyle="1" w:styleId="Bodytext3">
    <w:name w:val="Body text (3)_"/>
    <w:basedOn w:val="DefaultParagraphFont"/>
    <w:link w:val="Bodytext30"/>
    <w:rsid w:val="005866F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5866FA"/>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5866FA"/>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5866FA"/>
    <w:rPr>
      <w:rFonts w:ascii="Times New Roman" w:eastAsia="Times New Roman" w:hAnsi="Times New Roman" w:cs="Times New Roman"/>
      <w:b w:val="0"/>
      <w:bCs w:val="0"/>
      <w:i w:val="0"/>
      <w:iCs w:val="0"/>
      <w:smallCaps w:val="0"/>
      <w:strike w:val="0"/>
      <w:sz w:val="26"/>
      <w:szCs w:val="26"/>
      <w:u w:val="none"/>
    </w:rPr>
  </w:style>
  <w:style w:type="character" w:customStyle="1" w:styleId="Bodytext215pt">
    <w:name w:val="Body text (2) + 15 pt"/>
    <w:basedOn w:val="Bodytext2"/>
    <w:rsid w:val="005866F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5pt0">
    <w:name w:val="Body text (2) + 15 pt"/>
    <w:aliases w:val="Bold,Spacing 4 pt"/>
    <w:basedOn w:val="Bodytext2"/>
    <w:rsid w:val="005866FA"/>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4">
    <w:name w:val="Body text (4)_"/>
    <w:basedOn w:val="DefaultParagraphFont"/>
    <w:link w:val="Bodytext40"/>
    <w:rsid w:val="005866FA"/>
    <w:rPr>
      <w:rFonts w:ascii="Times New Roman" w:eastAsia="Times New Roman" w:hAnsi="Times New Roman" w:cs="Times New Roman"/>
      <w:b w:val="0"/>
      <w:bCs w:val="0"/>
      <w:i w:val="0"/>
      <w:iCs w:val="0"/>
      <w:smallCaps w:val="0"/>
      <w:strike w:val="0"/>
      <w:sz w:val="30"/>
      <w:szCs w:val="30"/>
      <w:u w:val="none"/>
    </w:rPr>
  </w:style>
  <w:style w:type="character" w:customStyle="1" w:styleId="Bodytext4Bold">
    <w:name w:val="Body text (4) + Bold"/>
    <w:aliases w:val="Spacing 2 pt"/>
    <w:basedOn w:val="Bodytext4"/>
    <w:rsid w:val="005866FA"/>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Spacing2pt">
    <w:name w:val="Body text (4) + Spacing 2 pt"/>
    <w:basedOn w:val="Bodytext4"/>
    <w:rsid w:val="005866F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4pt">
    <w:name w:val="Body text (2) + 14 pt"/>
    <w:aliases w:val="Bold,Body text (2) + Sylfaen"/>
    <w:basedOn w:val="Bodytext2"/>
    <w:rsid w:val="005866FA"/>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5866FA"/>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Bodytext30">
    <w:name w:val="Body text (3)"/>
    <w:basedOn w:val="Normal"/>
    <w:link w:val="Bodytext3"/>
    <w:rsid w:val="005866F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5866F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5866FA"/>
    <w:pPr>
      <w:shd w:val="clear" w:color="auto" w:fill="FFFFFF"/>
      <w:spacing w:before="420" w:after="420" w:line="0" w:lineRule="atLeast"/>
      <w:jc w:val="both"/>
    </w:pPr>
    <w:rPr>
      <w:rFonts w:ascii="Times New Roman" w:eastAsia="Times New Roman" w:hAnsi="Times New Roman" w:cs="Times New Roman"/>
      <w:sz w:val="26"/>
      <w:szCs w:val="26"/>
    </w:rPr>
  </w:style>
  <w:style w:type="paragraph" w:customStyle="1" w:styleId="Bodytext40">
    <w:name w:val="Body text (4)"/>
    <w:basedOn w:val="Normal"/>
    <w:link w:val="Bodytext4"/>
    <w:rsid w:val="005866FA"/>
    <w:pPr>
      <w:shd w:val="clear" w:color="auto" w:fill="FFFFFF"/>
      <w:spacing w:before="480" w:line="450" w:lineRule="exac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9C1604"/>
    <w:rPr>
      <w:rFonts w:ascii="Tahoma" w:hAnsi="Tahoma" w:cs="Tahoma"/>
      <w:sz w:val="16"/>
      <w:szCs w:val="16"/>
    </w:rPr>
  </w:style>
  <w:style w:type="character" w:customStyle="1" w:styleId="BalloonTextChar">
    <w:name w:val="Balloon Text Char"/>
    <w:basedOn w:val="DefaultParagraphFont"/>
    <w:link w:val="BalloonText"/>
    <w:uiPriority w:val="99"/>
    <w:semiHidden/>
    <w:rsid w:val="009C1604"/>
    <w:rPr>
      <w:rFonts w:ascii="Tahoma" w:hAnsi="Tahoma" w:cs="Tahoma"/>
      <w:color w:val="000000"/>
      <w:sz w:val="16"/>
      <w:szCs w:val="16"/>
    </w:rPr>
  </w:style>
  <w:style w:type="paragraph" w:styleId="Header">
    <w:name w:val="header"/>
    <w:basedOn w:val="Normal"/>
    <w:link w:val="HeaderChar"/>
    <w:uiPriority w:val="99"/>
    <w:unhideWhenUsed/>
    <w:rsid w:val="00482A1B"/>
    <w:pPr>
      <w:tabs>
        <w:tab w:val="center" w:pos="4844"/>
        <w:tab w:val="right" w:pos="9689"/>
      </w:tabs>
    </w:pPr>
  </w:style>
  <w:style w:type="character" w:customStyle="1" w:styleId="HeaderChar">
    <w:name w:val="Header Char"/>
    <w:basedOn w:val="DefaultParagraphFont"/>
    <w:link w:val="Header"/>
    <w:uiPriority w:val="99"/>
    <w:rsid w:val="00482A1B"/>
    <w:rPr>
      <w:color w:val="000000"/>
    </w:rPr>
  </w:style>
  <w:style w:type="paragraph" w:styleId="Footer">
    <w:name w:val="footer"/>
    <w:basedOn w:val="Normal"/>
    <w:link w:val="FooterChar"/>
    <w:uiPriority w:val="99"/>
    <w:semiHidden/>
    <w:unhideWhenUsed/>
    <w:rsid w:val="00482A1B"/>
    <w:pPr>
      <w:tabs>
        <w:tab w:val="center" w:pos="4844"/>
        <w:tab w:val="right" w:pos="9689"/>
      </w:tabs>
    </w:pPr>
  </w:style>
  <w:style w:type="character" w:customStyle="1" w:styleId="FooterChar">
    <w:name w:val="Footer Char"/>
    <w:basedOn w:val="DefaultParagraphFont"/>
    <w:link w:val="Footer"/>
    <w:uiPriority w:val="99"/>
    <w:semiHidden/>
    <w:rsid w:val="00482A1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1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94DBC-F723-4F27-AC37-661107FB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24</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145</cp:revision>
  <dcterms:created xsi:type="dcterms:W3CDTF">2015-11-13T12:14:00Z</dcterms:created>
  <dcterms:modified xsi:type="dcterms:W3CDTF">2016-04-26T11:03:00Z</dcterms:modified>
</cp:coreProperties>
</file>