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2B" w:rsidRPr="00A42045" w:rsidRDefault="00266362" w:rsidP="006E2128">
      <w:pPr>
        <w:pStyle w:val="Bodytext4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A42045">
        <w:rPr>
          <w:rFonts w:ascii="Sylfaen" w:hAnsi="Sylfaen"/>
          <w:sz w:val="24"/>
          <w:szCs w:val="24"/>
        </w:rPr>
        <w:t>ПРИЛОЖЕНИЕ</w:t>
      </w:r>
    </w:p>
    <w:p w:rsidR="00866C2B" w:rsidRPr="00A42045" w:rsidRDefault="00266362" w:rsidP="006E2128">
      <w:pPr>
        <w:pStyle w:val="Bodytext4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A42045">
        <w:rPr>
          <w:rFonts w:ascii="Sylfaen" w:hAnsi="Sylfaen"/>
          <w:sz w:val="24"/>
          <w:szCs w:val="24"/>
        </w:rPr>
        <w:t>к Решению Высшего Евразийского экономического совета</w:t>
      </w:r>
    </w:p>
    <w:p w:rsidR="004827C4" w:rsidRPr="0045134C" w:rsidRDefault="004827C4" w:rsidP="004827C4">
      <w:pPr>
        <w:pStyle w:val="Bodytext20"/>
        <w:shd w:val="clear" w:color="auto" w:fill="auto"/>
        <w:spacing w:after="120" w:line="240" w:lineRule="auto"/>
        <w:ind w:left="5103"/>
        <w:rPr>
          <w:rFonts w:ascii="Sylfaen" w:hAnsi="Sylfaen"/>
          <w:lang w:val="en-US"/>
        </w:rPr>
      </w:pPr>
      <w:r w:rsidRPr="0041241C">
        <w:rPr>
          <w:rFonts w:ascii="Sylfaen" w:hAnsi="Sylfaen"/>
        </w:rPr>
        <w:t>от</w:t>
      </w:r>
      <w:r>
        <w:rPr>
          <w:rFonts w:ascii="Sylfaen" w:hAnsi="Sylfaen"/>
          <w:lang w:val="en-US" w:eastAsia="en-US" w:bidi="en-US"/>
        </w:rPr>
        <w:t xml:space="preserve"> </w:t>
      </w:r>
      <w:r>
        <w:rPr>
          <w:rStyle w:val="Bodytext3"/>
          <w:rFonts w:ascii="Sylfaen" w:hAnsi="Sylfaen"/>
          <w:b w:val="0"/>
          <w:sz w:val="24"/>
          <w:szCs w:val="24"/>
        </w:rPr>
        <w:t>21 апреля 2015 г. № 3</w:t>
      </w:r>
      <w:r w:rsidR="007F31A2">
        <w:rPr>
          <w:rStyle w:val="Bodytext3"/>
          <w:rFonts w:ascii="Sylfaen" w:hAnsi="Sylfaen"/>
          <w:b w:val="0"/>
          <w:sz w:val="24"/>
          <w:szCs w:val="24"/>
          <w:lang w:val="en-US"/>
        </w:rPr>
        <w:t>0</w:t>
      </w:r>
      <w:bookmarkStart w:id="0" w:name="_GoBack"/>
      <w:bookmarkEnd w:id="0"/>
    </w:p>
    <w:p w:rsidR="006E2128" w:rsidRPr="00A42045" w:rsidRDefault="006E2128" w:rsidP="006E2128">
      <w:pPr>
        <w:pStyle w:val="Bodytext4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</w:p>
    <w:p w:rsidR="00866C2B" w:rsidRPr="00A42045" w:rsidRDefault="00266362" w:rsidP="00A42045">
      <w:pPr>
        <w:pStyle w:val="Heading20"/>
        <w:keepNext/>
        <w:keepLines/>
        <w:shd w:val="clear" w:color="auto" w:fill="auto"/>
        <w:spacing w:before="0" w:after="120" w:line="240" w:lineRule="auto"/>
        <w:ind w:right="40" w:firstLine="0"/>
        <w:rPr>
          <w:rFonts w:ascii="Sylfaen" w:hAnsi="Sylfaen"/>
          <w:sz w:val="24"/>
          <w:szCs w:val="24"/>
        </w:rPr>
      </w:pPr>
      <w:bookmarkStart w:id="1" w:name="bookmark5"/>
      <w:r w:rsidRPr="00A42045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866C2B" w:rsidRDefault="00266362" w:rsidP="00A42045">
      <w:pPr>
        <w:pStyle w:val="Bodytext3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  <w:r w:rsidRPr="00A42045">
        <w:rPr>
          <w:rFonts w:ascii="Sylfaen" w:hAnsi="Sylfaen"/>
          <w:sz w:val="24"/>
          <w:szCs w:val="24"/>
        </w:rPr>
        <w:t>вносимые в Решение Высшего Евразийского экономического</w:t>
      </w:r>
      <w:r w:rsidRPr="00A42045">
        <w:rPr>
          <w:rFonts w:ascii="Sylfaen" w:hAnsi="Sylfaen"/>
          <w:sz w:val="24"/>
          <w:szCs w:val="24"/>
        </w:rPr>
        <w:br/>
        <w:t>совета от 23 декабря 2014 г. № 112</w:t>
      </w:r>
    </w:p>
    <w:p w:rsidR="006E2128" w:rsidRPr="00A42045" w:rsidRDefault="006E2128" w:rsidP="00A42045">
      <w:pPr>
        <w:pStyle w:val="Bodytext3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</w:p>
    <w:p w:rsidR="00866C2B" w:rsidRPr="00A42045" w:rsidRDefault="00A42045" w:rsidP="006E212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4204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266362" w:rsidRPr="00A42045">
        <w:rPr>
          <w:rFonts w:ascii="Sylfaen" w:hAnsi="Sylfaen"/>
          <w:sz w:val="24"/>
          <w:szCs w:val="24"/>
        </w:rPr>
        <w:t>Наименование и пункт 1 после слова «для» дополнить словами «Республики Армения,».</w:t>
      </w:r>
    </w:p>
    <w:p w:rsidR="006E2128" w:rsidRDefault="00A42045" w:rsidP="006E212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4204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266362" w:rsidRPr="00A42045">
        <w:rPr>
          <w:rFonts w:ascii="Sylfaen" w:hAnsi="Sylfaen"/>
          <w:sz w:val="24"/>
          <w:szCs w:val="24"/>
        </w:rPr>
        <w:t>Дополнить индивидуальным национальным перечнем ограничений, изъятий, дополнительных требований и условий в рамках Евразийского экономического союза для Республики Армения следующего содержания:</w:t>
      </w:r>
    </w:p>
    <w:p w:rsidR="006E2128" w:rsidRDefault="006E2128" w:rsidP="006E2128">
      <w:pPr>
        <w:pStyle w:val="Bodytext4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</w:p>
    <w:p w:rsidR="006E2128" w:rsidRDefault="006E2128" w:rsidP="006E2128">
      <w:pPr>
        <w:pStyle w:val="Bodytext4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  <w:sectPr w:rsidR="006E2128" w:rsidSect="00A42045">
          <w:headerReference w:type="even" r:id="rId8"/>
          <w:type w:val="continuous"/>
          <w:pgSz w:w="11900" w:h="16840" w:code="9"/>
          <w:pgMar w:top="1418" w:right="1418" w:bottom="1418" w:left="1418" w:header="0" w:footer="6" w:gutter="0"/>
          <w:pgNumType w:start="2"/>
          <w:cols w:space="720"/>
          <w:noEndnote/>
          <w:docGrid w:linePitch="360"/>
        </w:sectPr>
      </w:pPr>
    </w:p>
    <w:p w:rsidR="00866C2B" w:rsidRPr="00A42045" w:rsidRDefault="00266362" w:rsidP="006E2128">
      <w:pPr>
        <w:pStyle w:val="Bodytext4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A42045">
        <w:rPr>
          <w:rFonts w:ascii="Sylfaen" w:hAnsi="Sylfaen"/>
          <w:sz w:val="24"/>
          <w:szCs w:val="24"/>
        </w:rPr>
        <w:lastRenderedPageBreak/>
        <w:t>«УТВЕРЖДЕН</w:t>
      </w:r>
    </w:p>
    <w:p w:rsidR="00866C2B" w:rsidRPr="00A42045" w:rsidRDefault="00266362" w:rsidP="006E2128">
      <w:pPr>
        <w:pStyle w:val="Bodytext4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A42045">
        <w:rPr>
          <w:rFonts w:ascii="Sylfaen" w:hAnsi="Sylfaen"/>
          <w:sz w:val="24"/>
          <w:szCs w:val="24"/>
        </w:rPr>
        <w:t>Решением Высшего Евразийского экономического совета</w:t>
      </w:r>
    </w:p>
    <w:p w:rsidR="007F31A2" w:rsidRPr="0045134C" w:rsidRDefault="007F31A2" w:rsidP="007F31A2">
      <w:pPr>
        <w:pStyle w:val="Bodytext20"/>
        <w:shd w:val="clear" w:color="auto" w:fill="auto"/>
        <w:spacing w:after="120" w:line="240" w:lineRule="auto"/>
        <w:ind w:left="5103"/>
        <w:rPr>
          <w:rFonts w:ascii="Sylfaen" w:hAnsi="Sylfaen"/>
          <w:lang w:val="en-US"/>
        </w:rPr>
      </w:pPr>
      <w:bookmarkStart w:id="2" w:name="bookmark6"/>
      <w:r>
        <w:rPr>
          <w:rFonts w:ascii="Sylfaen" w:hAnsi="Sylfaen"/>
          <w:lang w:val="en-US"/>
        </w:rPr>
        <w:t xml:space="preserve">                                                                              </w:t>
      </w:r>
      <w:r w:rsidRPr="0041241C">
        <w:rPr>
          <w:rFonts w:ascii="Sylfaen" w:hAnsi="Sylfaen"/>
        </w:rPr>
        <w:t>от</w:t>
      </w:r>
      <w:r>
        <w:rPr>
          <w:rFonts w:ascii="Sylfaen" w:hAnsi="Sylfaen"/>
          <w:lang w:val="en-US" w:eastAsia="en-US" w:bidi="en-US"/>
        </w:rPr>
        <w:t xml:space="preserve"> </w:t>
      </w:r>
      <w:r>
        <w:rPr>
          <w:rStyle w:val="Bodytext3"/>
          <w:rFonts w:ascii="Sylfaen" w:hAnsi="Sylfaen"/>
          <w:b w:val="0"/>
          <w:sz w:val="24"/>
          <w:szCs w:val="24"/>
        </w:rPr>
        <w:t>21 апреля 2015 г. № 3</w:t>
      </w:r>
      <w:r>
        <w:rPr>
          <w:rStyle w:val="Bodytext3"/>
          <w:rFonts w:ascii="Sylfaen" w:hAnsi="Sylfaen"/>
          <w:b w:val="0"/>
          <w:sz w:val="24"/>
          <w:szCs w:val="24"/>
          <w:lang w:val="en-US"/>
        </w:rPr>
        <w:t>0</w:t>
      </w:r>
    </w:p>
    <w:p w:rsidR="006E2128" w:rsidRDefault="00266362" w:rsidP="006E2128">
      <w:pPr>
        <w:pStyle w:val="Heading20"/>
        <w:keepNext/>
        <w:keepLines/>
        <w:shd w:val="clear" w:color="auto" w:fill="auto"/>
        <w:spacing w:before="0" w:after="120" w:line="240" w:lineRule="auto"/>
        <w:ind w:left="2835" w:right="2805" w:firstLine="0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r w:rsidRPr="00A42045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ИНДИВИДУАЛЬНЫЙ НАЦИОНАЛЬНЫЙ ПЕРЕЧЕНЬ</w:t>
      </w:r>
    </w:p>
    <w:p w:rsidR="00866C2B" w:rsidRPr="00A42045" w:rsidRDefault="00266362" w:rsidP="006E2128">
      <w:pPr>
        <w:pStyle w:val="Heading20"/>
        <w:keepNext/>
        <w:keepLines/>
        <w:shd w:val="clear" w:color="auto" w:fill="auto"/>
        <w:spacing w:before="0" w:after="120" w:line="240" w:lineRule="auto"/>
        <w:ind w:left="2835" w:right="2805" w:firstLine="0"/>
        <w:rPr>
          <w:rFonts w:ascii="Sylfaen" w:hAnsi="Sylfaen"/>
          <w:sz w:val="24"/>
          <w:szCs w:val="24"/>
        </w:rPr>
      </w:pPr>
      <w:r w:rsidRPr="00A42045">
        <w:rPr>
          <w:rFonts w:ascii="Sylfaen" w:hAnsi="Sylfaen"/>
          <w:sz w:val="24"/>
          <w:szCs w:val="24"/>
        </w:rPr>
        <w:t>ограничений, изъятий, дополнительных требований и условий в рамках</w:t>
      </w:r>
      <w:r w:rsidR="006E2128">
        <w:rPr>
          <w:rFonts w:ascii="Sylfaen" w:hAnsi="Sylfaen"/>
          <w:sz w:val="24"/>
          <w:szCs w:val="24"/>
        </w:rPr>
        <w:t xml:space="preserve"> </w:t>
      </w:r>
      <w:r w:rsidRPr="00A42045">
        <w:rPr>
          <w:rFonts w:ascii="Sylfaen" w:hAnsi="Sylfaen"/>
          <w:sz w:val="24"/>
          <w:szCs w:val="24"/>
        </w:rPr>
        <w:t>Евразийского экономического союза для Республики Армения</w:t>
      </w:r>
      <w:bookmarkEnd w:id="2"/>
    </w:p>
    <w:p w:rsidR="00866C2B" w:rsidRPr="00A42045" w:rsidRDefault="00866C2B" w:rsidP="00A42045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4"/>
        <w:gridCol w:w="3280"/>
        <w:gridCol w:w="6005"/>
      </w:tblGrid>
      <w:tr w:rsidR="00866C2B" w:rsidRPr="00A42045" w:rsidTr="00A42045">
        <w:trPr>
          <w:jc w:val="center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Тип ограничения, изъятия, дополнительного требования и условия(пункты приложения № 16 к Договору)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62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Международный договор, нормативный правовой акт</w:t>
            </w:r>
          </w:p>
        </w:tc>
      </w:tr>
      <w:tr w:rsidR="00866C2B" w:rsidRPr="00A42045" w:rsidTr="00A42045">
        <w:trPr>
          <w:jc w:val="center"/>
        </w:trPr>
        <w:tc>
          <w:tcPr>
            <w:tcW w:w="1478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6C2B" w:rsidRPr="00A42045" w:rsidRDefault="00266362" w:rsidP="006E2128">
            <w:pPr>
              <w:pStyle w:val="Bodytext20"/>
              <w:shd w:val="clear" w:color="auto" w:fill="auto"/>
              <w:spacing w:after="120" w:line="240" w:lineRule="auto"/>
              <w:ind w:left="99" w:right="69" w:firstLine="560"/>
              <w:jc w:val="both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На основании подпункта 1 пункта 38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 (далее - Договор)) в секторах услуг, в которых функционирует единый рынок услуг в рамках Евразийского экономического союза, ограничения, изъятия, дополнительные требования и условия не применяются с даты вступления в силу Договора от 10 октября 2014 года о присоединении Республики Армения к Договору о Евразийском экономическом союзе от 29 мая 2014 года.</w:t>
            </w:r>
          </w:p>
          <w:p w:rsidR="00866C2B" w:rsidRPr="00A42045" w:rsidRDefault="00266362" w:rsidP="006E2128">
            <w:pPr>
              <w:pStyle w:val="Bodytext20"/>
              <w:shd w:val="clear" w:color="auto" w:fill="auto"/>
              <w:spacing w:after="120" w:line="240" w:lineRule="auto"/>
              <w:ind w:left="99" w:right="69" w:firstLine="560"/>
              <w:jc w:val="both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На основании подпункта 1 пункта 38 Протокола о торговле услугами, учреждении, деятельности и осуществлении инвестиций (далее - приложение № 16) в перечнях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либерализации, ограничения, изъятия, дополнительные требования и условия не применяются после реализации таких планов либерализации.</w:t>
            </w:r>
          </w:p>
          <w:p w:rsidR="00866C2B" w:rsidRPr="00A42045" w:rsidRDefault="00266362" w:rsidP="006E2128">
            <w:pPr>
              <w:pStyle w:val="Bodytext20"/>
              <w:shd w:val="clear" w:color="auto" w:fill="auto"/>
              <w:spacing w:after="120" w:line="240" w:lineRule="auto"/>
              <w:ind w:left="99" w:right="69" w:firstLine="560"/>
              <w:jc w:val="both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Указанные в графе второй настоящего перечня пункты приложения № 16 применяются государствами ֊ членами Евразийского экономического союза (далее - государства-члены) в объеме и на условиях, которые указаны в графе первой настоящего перечня.</w:t>
            </w:r>
          </w:p>
          <w:p w:rsidR="00866C2B" w:rsidRPr="00A42045" w:rsidRDefault="00266362" w:rsidP="006E2128">
            <w:pPr>
              <w:pStyle w:val="Bodytext20"/>
              <w:shd w:val="clear" w:color="auto" w:fill="auto"/>
              <w:spacing w:after="120" w:line="240" w:lineRule="auto"/>
              <w:ind w:left="99" w:right="69" w:firstLine="560"/>
              <w:jc w:val="both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Настоящий перечень применяется в части, не противоречащей статьям 66 и 67 Договора.</w:t>
            </w:r>
          </w:p>
        </w:tc>
      </w:tr>
    </w:tbl>
    <w:p w:rsidR="00866C2B" w:rsidRPr="00A42045" w:rsidRDefault="00866C2B" w:rsidP="00A42045">
      <w:pPr>
        <w:spacing w:after="120"/>
      </w:pPr>
    </w:p>
    <w:tbl>
      <w:tblPr>
        <w:tblOverlap w:val="never"/>
        <w:tblW w:w="147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0"/>
        <w:gridCol w:w="3272"/>
        <w:gridCol w:w="5983"/>
      </w:tblGrid>
      <w:tr w:rsidR="00866C2B" w:rsidRPr="00A42045" w:rsidTr="006E2128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Тип ограничения, изъятия, дополнительного требования и условия(пункты приложения № 16 к Договору)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64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Международный договор, нормативный правовой акт</w:t>
            </w:r>
          </w:p>
        </w:tc>
      </w:tr>
      <w:tr w:rsidR="00866C2B" w:rsidRPr="00A42045" w:rsidTr="006E2128">
        <w:trPr>
          <w:jc w:val="center"/>
        </w:trPr>
        <w:tc>
          <w:tcPr>
            <w:tcW w:w="5530" w:type="dxa"/>
            <w:tcBorders>
              <w:top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1. В отношении услуг и видов деятельности, охватываемых разделами XVI, XIX, XX и XXI Договора, Республика Армения сохраняет право применять ограничения, изъятия, дополнительные требования и условия в соответствии с нормативными правовыми актами и международными договорами Республики Армения в части, не противоречащей указанным разделам и договоренностям, которые будут достигнуты между государствами-членами в соответствии с указанными разделами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пункты 16, 17, 23, 26, 28, 31, 33 и 35</w:t>
            </w:r>
          </w:p>
        </w:tc>
        <w:tc>
          <w:tcPr>
            <w:tcW w:w="5983" w:type="dxa"/>
            <w:tcBorders>
              <w:top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Договор</w:t>
            </w:r>
          </w:p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международные договоры Республики Армения нормативные правовые акты Республики Армения</w:t>
            </w:r>
          </w:p>
        </w:tc>
      </w:tr>
      <w:tr w:rsidR="00866C2B" w:rsidRPr="00A42045" w:rsidTr="006E2128">
        <w:trPr>
          <w:jc w:val="center"/>
        </w:trPr>
        <w:tc>
          <w:tcPr>
            <w:tcW w:w="5530" w:type="dxa"/>
            <w:shd w:val="clear" w:color="auto" w:fill="FFFFFF"/>
            <w:vAlign w:val="center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2. Деятельность, на осуществление которой требуется лицензия, может осуществляться только юридическими лицами Республики Армения или индивидуальными предпринимателями, зарегистрированными в установленном порядке в Республике Армения. Виды деятельности, на осуществление которых требуется лицензия, а также порядок определения организационноправовой формы лицензиата устанавливаются законодательством Республики Армения</w:t>
            </w:r>
          </w:p>
        </w:tc>
        <w:tc>
          <w:tcPr>
            <w:tcW w:w="3272" w:type="dxa"/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пункты 23, 26 и 31</w:t>
            </w:r>
          </w:p>
        </w:tc>
        <w:tc>
          <w:tcPr>
            <w:tcW w:w="5983" w:type="dxa"/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Закон Республики Армения от 30 мая 2001 г. № ЗР-193 «О лицензировании»</w:t>
            </w:r>
          </w:p>
        </w:tc>
      </w:tr>
      <w:tr w:rsidR="00866C2B" w:rsidRPr="00A42045" w:rsidTr="006E2128">
        <w:trPr>
          <w:jc w:val="center"/>
        </w:trPr>
        <w:tc>
          <w:tcPr>
            <w:tcW w:w="5530" w:type="dxa"/>
            <w:shd w:val="clear" w:color="auto" w:fill="FFFFFF"/>
            <w:vAlign w:val="bottom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lastRenderedPageBreak/>
              <w:t>3. Нотариусом, стажером нотариуса может быть только гражданин Республики Армения, если иное не предусмотрено международными договорами Республики Армения</w:t>
            </w:r>
          </w:p>
        </w:tc>
        <w:tc>
          <w:tcPr>
            <w:tcW w:w="3272" w:type="dxa"/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пункты 23, 26 и 35</w:t>
            </w:r>
          </w:p>
        </w:tc>
        <w:tc>
          <w:tcPr>
            <w:tcW w:w="5983" w:type="dxa"/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Закон Республики Армения от 4 декабря 2001 г. № ЗР-274 «О нотариате»</w:t>
            </w:r>
          </w:p>
        </w:tc>
      </w:tr>
    </w:tbl>
    <w:p w:rsidR="00866C2B" w:rsidRPr="00A42045" w:rsidRDefault="00866C2B" w:rsidP="00A42045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9"/>
        <w:gridCol w:w="3276"/>
        <w:gridCol w:w="6005"/>
      </w:tblGrid>
      <w:tr w:rsidR="00866C2B" w:rsidRPr="00A42045" w:rsidTr="00A42045">
        <w:trPr>
          <w:jc w:val="center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Тип ограничения, изъятия, дополнительного требования и условия(пункты приложения № 16 к Договору)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62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Международный договор, нормативный правовой акт</w:t>
            </w:r>
          </w:p>
        </w:tc>
      </w:tr>
      <w:tr w:rsidR="00866C2B" w:rsidRPr="00A42045" w:rsidTr="00A42045">
        <w:trPr>
          <w:jc w:val="center"/>
        </w:trPr>
        <w:tc>
          <w:tcPr>
            <w:tcW w:w="5519" w:type="dxa"/>
            <w:tcBorders>
              <w:top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4. Иностранный адвокат не может оказывать юридическую помощь по вопросам, связанным с государственной или служебной тайной</w:t>
            </w:r>
          </w:p>
        </w:tc>
        <w:tc>
          <w:tcPr>
            <w:tcW w:w="3276" w:type="dxa"/>
            <w:tcBorders>
              <w:top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пункты 26 и 35</w:t>
            </w:r>
          </w:p>
        </w:tc>
        <w:tc>
          <w:tcPr>
            <w:tcW w:w="6005" w:type="dxa"/>
            <w:tcBorders>
              <w:top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Закон Республики Армения от 14 декабря 2004 г. № ЗР-29-Н «Об адвокатуре»</w:t>
            </w:r>
          </w:p>
        </w:tc>
      </w:tr>
      <w:tr w:rsidR="00866C2B" w:rsidRPr="00A42045" w:rsidTr="00A42045">
        <w:trPr>
          <w:jc w:val="center"/>
        </w:trPr>
        <w:tc>
          <w:tcPr>
            <w:tcW w:w="5519" w:type="dxa"/>
            <w:shd w:val="clear" w:color="auto" w:fill="FFFFFF"/>
            <w:vAlign w:val="center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5. Право на получение статуса телохранителя и охранника и осуществление функций телохранителя и охранника (в том числе с использованием оружия и специальных средств) имеют только граждане Республики Армения, имеющие квалификацию телохранителя или охранника</w:t>
            </w:r>
          </w:p>
        </w:tc>
        <w:tc>
          <w:tcPr>
            <w:tcW w:w="3276" w:type="dxa"/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пункты 23, 26 и 35</w:t>
            </w:r>
          </w:p>
        </w:tc>
        <w:tc>
          <w:tcPr>
            <w:tcW w:w="6005" w:type="dxa"/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Закон Республики Армения от 9 февраля 2012 г. № ЗР-6-Н «О частной охранной деятельности»</w:t>
            </w:r>
          </w:p>
        </w:tc>
      </w:tr>
      <w:tr w:rsidR="00866C2B" w:rsidRPr="00A42045" w:rsidTr="00A42045">
        <w:trPr>
          <w:jc w:val="center"/>
        </w:trPr>
        <w:tc>
          <w:tcPr>
            <w:tcW w:w="5519" w:type="dxa"/>
            <w:shd w:val="clear" w:color="auto" w:fill="FFFFFF"/>
            <w:vAlign w:val="center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6. Сохраняется возможность вводить и применять любые меры, основанные на соглашениях о совместном производстве, посредством которых предоставляется национальный режим в отношении аудиовизуальных произведений, охваченных данными соглашениями</w:t>
            </w:r>
          </w:p>
        </w:tc>
        <w:tc>
          <w:tcPr>
            <w:tcW w:w="3276" w:type="dxa"/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пункт 28</w:t>
            </w:r>
          </w:p>
        </w:tc>
        <w:tc>
          <w:tcPr>
            <w:tcW w:w="6005" w:type="dxa"/>
            <w:shd w:val="clear" w:color="auto" w:fill="FFFFFF"/>
            <w:vAlign w:val="center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международные обязательства Республики Армения, касающиеся услуг и вытекающие из Протокола от 10 декабря 2002 года о присоединении Республики Армения к Марракешскому соглашению об учреждении Всемирной торговой организации от 15 апреля 1994 г.</w:t>
            </w:r>
          </w:p>
        </w:tc>
      </w:tr>
      <w:tr w:rsidR="00866C2B" w:rsidRPr="00A42045" w:rsidTr="00A42045">
        <w:trPr>
          <w:jc w:val="center"/>
        </w:trPr>
        <w:tc>
          <w:tcPr>
            <w:tcW w:w="5519" w:type="dxa"/>
            <w:shd w:val="clear" w:color="auto" w:fill="FFFFFF"/>
            <w:vAlign w:val="bottom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lastRenderedPageBreak/>
              <w:t>7. Сохраняется возможность вводить и применять любые меры, гарантирующие выгоды от участия в программах поддержки для аудиовизуальных произведений, а также поставщикам таких произведений, при соблюдении определенных критериев происхождения</w:t>
            </w:r>
          </w:p>
        </w:tc>
        <w:tc>
          <w:tcPr>
            <w:tcW w:w="3276" w:type="dxa"/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пункт 28</w:t>
            </w:r>
          </w:p>
        </w:tc>
        <w:tc>
          <w:tcPr>
            <w:tcW w:w="6005" w:type="dxa"/>
            <w:shd w:val="clear" w:color="auto" w:fill="FFFFFF"/>
            <w:vAlign w:val="center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международные обязательства Республики Армения, касающиеся услуг и вытекающие из Протокола от 10 декабря 2002 года о присоединении Республики Армения к Марракешскому соглашению об учреждении Всемирной торговой организации от 15 апреля 1994 г.</w:t>
            </w:r>
          </w:p>
        </w:tc>
      </w:tr>
    </w:tbl>
    <w:p w:rsidR="00866C2B" w:rsidRPr="00A42045" w:rsidRDefault="00866C2B" w:rsidP="00A42045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276"/>
        <w:gridCol w:w="6001"/>
      </w:tblGrid>
      <w:tr w:rsidR="00866C2B" w:rsidRPr="00A42045" w:rsidTr="00A42045">
        <w:trPr>
          <w:jc w:val="center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Тип ограничения, изъятия, дополнительного требования и условия(пункты приложения № 16 к Договору)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62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Международный договор, нормативный правовой акт</w:t>
            </w:r>
          </w:p>
        </w:tc>
      </w:tr>
      <w:tr w:rsidR="00866C2B" w:rsidRPr="00A42045" w:rsidTr="00A42045">
        <w:trPr>
          <w:jc w:val="center"/>
        </w:trPr>
        <w:tc>
          <w:tcPr>
            <w:tcW w:w="5526" w:type="dxa"/>
            <w:tcBorders>
              <w:top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8. Доля иностранного капитала в уставном капитале телерадиокомпаний не может быть равной или превышать 50 % акций, необходимых для принятия решений телерадиокомпаниями, если иное не предусмотрено международными договорами Республики Армения</w:t>
            </w:r>
          </w:p>
        </w:tc>
        <w:tc>
          <w:tcPr>
            <w:tcW w:w="3276" w:type="dxa"/>
            <w:tcBorders>
              <w:top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пункты 28 и 31</w:t>
            </w:r>
          </w:p>
        </w:tc>
        <w:tc>
          <w:tcPr>
            <w:tcW w:w="6001" w:type="dxa"/>
            <w:tcBorders>
              <w:top w:val="single" w:sz="4" w:space="0" w:color="auto"/>
            </w:tcBorders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Закон Республики Армения от 9 октября 2000 г. № ЗР-97 «О телевидении и радио»</w:t>
            </w:r>
          </w:p>
        </w:tc>
      </w:tr>
      <w:tr w:rsidR="00866C2B" w:rsidRPr="00A42045" w:rsidTr="00A42045">
        <w:trPr>
          <w:jc w:val="center"/>
        </w:trPr>
        <w:tc>
          <w:tcPr>
            <w:tcW w:w="5526" w:type="dxa"/>
            <w:shd w:val="clear" w:color="auto" w:fill="FFFFFF"/>
            <w:vAlign w:val="bottom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9. Любые ограничения применяются к учреждению лицом любого другого государства- члена на территории Республики Армения для осуществления деятельности и операций в сфере ядерной энергетики и обращения с радиоактивными отходами</w:t>
            </w:r>
          </w:p>
        </w:tc>
        <w:tc>
          <w:tcPr>
            <w:tcW w:w="3276" w:type="dxa"/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пункты 23, 26, 31, 33 и 35</w:t>
            </w:r>
          </w:p>
        </w:tc>
        <w:tc>
          <w:tcPr>
            <w:tcW w:w="6001" w:type="dxa"/>
            <w:shd w:val="clear" w:color="auto" w:fill="FFFFFF"/>
          </w:tcPr>
          <w:p w:rsidR="00866C2B" w:rsidRPr="00A42045" w:rsidRDefault="00266362" w:rsidP="00A42045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</w:rPr>
            </w:pPr>
            <w:r w:rsidRPr="00A42045">
              <w:rPr>
                <w:rFonts w:ascii="Sylfaen" w:hAnsi="Sylfaen"/>
              </w:rPr>
              <w:t>Закон Республики Армения от 1 февраля 1999 г. № ЗР-285 «О безопасном использовании атомной энергии в мирных целях»</w:t>
            </w:r>
          </w:p>
        </w:tc>
      </w:tr>
    </w:tbl>
    <w:p w:rsidR="00866C2B" w:rsidRPr="00A42045" w:rsidRDefault="00866C2B" w:rsidP="00A42045">
      <w:pPr>
        <w:spacing w:after="120"/>
      </w:pPr>
    </w:p>
    <w:sectPr w:rsidR="00866C2B" w:rsidRPr="00A42045" w:rsidSect="006E2128">
      <w:headerReference w:type="even" r:id="rId9"/>
      <w:headerReference w:type="default" r:id="rId10"/>
      <w:pgSz w:w="16840" w:h="11900" w:orient="landscape" w:code="9"/>
      <w:pgMar w:top="1418" w:right="1418" w:bottom="1418" w:left="1418" w:header="0" w:footer="6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E2D" w:rsidRDefault="00520E2D" w:rsidP="00866C2B">
      <w:r>
        <w:separator/>
      </w:r>
    </w:p>
  </w:endnote>
  <w:endnote w:type="continuationSeparator" w:id="0">
    <w:p w:rsidR="00520E2D" w:rsidRDefault="00520E2D" w:rsidP="0086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E2D" w:rsidRDefault="00520E2D"/>
  </w:footnote>
  <w:footnote w:type="continuationSeparator" w:id="0">
    <w:p w:rsidR="00520E2D" w:rsidRDefault="00520E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2B" w:rsidRDefault="00520E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33.65pt;margin-top:36.4pt;width:6.3pt;height:10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66C2B" w:rsidRDefault="00520E2D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42045" w:rsidRPr="00A42045">
                  <w:rPr>
                    <w:rStyle w:val="Headerorfooter1"/>
                    <w:noProof/>
                  </w:rPr>
                  <w:t>2</w:t>
                </w:r>
                <w:r>
                  <w:rPr>
                    <w:rStyle w:val="Headerorfooter1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2B" w:rsidRDefault="00866C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2B" w:rsidRDefault="00866C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718"/>
    <w:multiLevelType w:val="multilevel"/>
    <w:tmpl w:val="70501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AF151A"/>
    <w:multiLevelType w:val="multilevel"/>
    <w:tmpl w:val="7346E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B10A1F"/>
    <w:multiLevelType w:val="multilevel"/>
    <w:tmpl w:val="71FE8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66C2B"/>
    <w:rsid w:val="00266362"/>
    <w:rsid w:val="004827C4"/>
    <w:rsid w:val="00520E2D"/>
    <w:rsid w:val="006E2128"/>
    <w:rsid w:val="007F31A2"/>
    <w:rsid w:val="00866C2B"/>
    <w:rsid w:val="00A4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6C2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C2B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uiPriority w:val="99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6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5pt">
    <w:name w:val="Body text (2) + 15 pt"/>
    <w:basedOn w:val="Bodytext2"/>
    <w:rsid w:val="0086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86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8">
    <w:name w:val="Body text (8)"/>
    <w:basedOn w:val="DefaultParagraphFont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DefaultParagraphFont"/>
    <w:link w:val="Headerorfooter0"/>
    <w:rsid w:val="0086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6pt">
    <w:name w:val="Body text (3) + 16 pt"/>
    <w:basedOn w:val="Bodytext3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12">
    <w:name w:val="Heading #1 (2)"/>
    <w:basedOn w:val="DefaultParagraphFont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14pt">
    <w:name w:val="Body text (4) + 14 pt"/>
    <w:aliases w:val="Bold,Spacing 2 pt"/>
    <w:basedOn w:val="Bodytext4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4pt">
    <w:name w:val="Heading #2 + Spacing 4 pt"/>
    <w:basedOn w:val="Heading2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86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sid w:val="0086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66C2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6C2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66C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66C2B"/>
    <w:pPr>
      <w:shd w:val="clear" w:color="auto" w:fill="FFFFFF"/>
      <w:spacing w:line="281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rsid w:val="00866C2B"/>
    <w:pPr>
      <w:shd w:val="clear" w:color="auto" w:fill="FFFFFF"/>
      <w:spacing w:before="1020" w:after="420" w:line="0" w:lineRule="atLeast"/>
      <w:ind w:hanging="36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66C2B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866C2B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866C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A42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04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42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045"/>
    <w:rPr>
      <w:color w:val="000000"/>
    </w:rPr>
  </w:style>
  <w:style w:type="character" w:customStyle="1" w:styleId="Bodytext2Bold">
    <w:name w:val="Body text (2) + Bold"/>
    <w:basedOn w:val="Bodytext2"/>
    <w:rsid w:val="00A420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2015-10-01T13:36:00Z</dcterms:created>
  <dcterms:modified xsi:type="dcterms:W3CDTF">2016-04-22T07:32:00Z</dcterms:modified>
</cp:coreProperties>
</file>