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2B" w:rsidRPr="00A43ACD" w:rsidRDefault="00266362" w:rsidP="00736782">
      <w:pPr>
        <w:pStyle w:val="Bodytext4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>ՀԱՎԵԼՎԱԾ</w:t>
      </w:r>
    </w:p>
    <w:p w:rsidR="006E2128" w:rsidRDefault="00266362" w:rsidP="00736782">
      <w:pPr>
        <w:pStyle w:val="Bodytext4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 w:cs="Sylfaen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736782">
        <w:rPr>
          <w:rFonts w:ascii="GHEA Grapalat" w:hAnsi="GHEA Grapalat"/>
          <w:sz w:val="24"/>
          <w:szCs w:val="24"/>
        </w:rPr>
        <w:br/>
      </w:r>
      <w:r w:rsidR="00FA3F02">
        <w:rPr>
          <w:rFonts w:ascii="GHEA Grapalat" w:hAnsi="GHEA Grapalat"/>
          <w:sz w:val="24"/>
          <w:szCs w:val="24"/>
        </w:rPr>
        <w:t>«</w:t>
      </w:r>
      <w:r w:rsidR="00FA3F02">
        <w:rPr>
          <w:rFonts w:ascii="GHEA Grapalat" w:hAnsi="GHEA Grapalat"/>
          <w:sz w:val="24"/>
          <w:szCs w:val="24"/>
          <w:lang w:val="en-US"/>
        </w:rPr>
        <w:t>14</w:t>
      </w:r>
      <w:r w:rsidR="00FA3F02">
        <w:rPr>
          <w:rFonts w:ascii="GHEA Grapalat" w:hAnsi="GHEA Grapalat"/>
          <w:sz w:val="24"/>
          <w:szCs w:val="24"/>
        </w:rPr>
        <w:t>»</w:t>
      </w:r>
      <w:r w:rsidR="00FA3F0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A3F02"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="00736782" w:rsidRPr="00743721">
        <w:rPr>
          <w:rFonts w:ascii="GHEA Grapalat" w:hAnsi="GHEA Grapalat"/>
          <w:sz w:val="24"/>
          <w:szCs w:val="24"/>
        </w:rPr>
        <w:t>ի 20</w:t>
      </w:r>
      <w:r w:rsidR="00736782">
        <w:rPr>
          <w:rFonts w:ascii="GHEA Grapalat" w:hAnsi="GHEA Grapalat"/>
          <w:sz w:val="24"/>
          <w:szCs w:val="24"/>
        </w:rPr>
        <w:t>15</w:t>
      </w:r>
      <w:r w:rsidR="00736782" w:rsidRPr="00743721">
        <w:rPr>
          <w:rFonts w:ascii="GHEA Grapalat" w:hAnsi="GHEA Grapalat"/>
          <w:sz w:val="24"/>
          <w:szCs w:val="24"/>
        </w:rPr>
        <w:t xml:space="preserve"> </w:t>
      </w:r>
      <w:r w:rsidR="00736782" w:rsidRPr="00743721">
        <w:rPr>
          <w:rFonts w:ascii="GHEA Grapalat" w:hAnsi="GHEA Grapalat" w:cs="Sylfaen"/>
          <w:sz w:val="24"/>
          <w:szCs w:val="24"/>
        </w:rPr>
        <w:t>թվականի</w:t>
      </w:r>
      <w:r w:rsidR="00736782">
        <w:rPr>
          <w:rFonts w:ascii="GHEA Grapalat" w:hAnsi="GHEA Grapalat" w:cs="Sylfaen"/>
          <w:sz w:val="24"/>
          <w:szCs w:val="24"/>
        </w:rPr>
        <w:t xml:space="preserve"> </w:t>
      </w:r>
      <w:r w:rsidR="00736782">
        <w:rPr>
          <w:rFonts w:ascii="GHEA Grapalat" w:hAnsi="GHEA Grapalat" w:cs="Sylfaen"/>
          <w:sz w:val="24"/>
          <w:szCs w:val="24"/>
        </w:rPr>
        <w:br/>
      </w:r>
      <w:r w:rsidR="00736782" w:rsidRPr="00743721">
        <w:rPr>
          <w:rFonts w:ascii="GHEA Grapalat" w:hAnsi="GHEA Grapalat" w:cs="Sylfaen"/>
          <w:sz w:val="24"/>
          <w:szCs w:val="24"/>
        </w:rPr>
        <w:t>թիվ</w:t>
      </w:r>
      <w:r w:rsidR="00FA3F02">
        <w:rPr>
          <w:rFonts w:ascii="GHEA Grapalat" w:hAnsi="GHEA Grapalat" w:cs="Sylfaen"/>
          <w:sz w:val="24"/>
          <w:szCs w:val="24"/>
          <w:lang w:val="en-US"/>
        </w:rPr>
        <w:t xml:space="preserve"> 30</w:t>
      </w:r>
      <w:r w:rsidR="00736782" w:rsidRPr="00743721">
        <w:rPr>
          <w:rFonts w:ascii="GHEA Grapalat" w:hAnsi="GHEA Grapalat" w:cs="Sylfaen"/>
          <w:sz w:val="24"/>
          <w:szCs w:val="24"/>
        </w:rPr>
        <w:t xml:space="preserve"> որոշման</w:t>
      </w:r>
    </w:p>
    <w:p w:rsidR="00736782" w:rsidRPr="00A43ACD" w:rsidRDefault="00736782" w:rsidP="00736782">
      <w:pPr>
        <w:pStyle w:val="Bodytext4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</w:p>
    <w:p w:rsidR="00866C2B" w:rsidRPr="00A43ACD" w:rsidRDefault="00266362" w:rsidP="00A43ACD">
      <w:pPr>
        <w:pStyle w:val="Heading20"/>
        <w:keepNext/>
        <w:keepLines/>
        <w:shd w:val="clear" w:color="auto" w:fill="auto"/>
        <w:spacing w:before="0" w:after="160" w:line="360" w:lineRule="auto"/>
        <w:ind w:right="40" w:firstLine="0"/>
        <w:rPr>
          <w:rFonts w:ascii="GHEA Grapalat" w:hAnsi="GHEA Grapalat"/>
          <w:sz w:val="24"/>
          <w:szCs w:val="24"/>
        </w:rPr>
      </w:pPr>
      <w:bookmarkStart w:id="0" w:name="bookmark5"/>
      <w:r w:rsidRPr="00A43ACD">
        <w:rPr>
          <w:rStyle w:val="Heading2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0"/>
    </w:p>
    <w:p w:rsidR="00866C2B" w:rsidRPr="00A43ACD" w:rsidRDefault="00266362" w:rsidP="00A43ACD">
      <w:pPr>
        <w:pStyle w:val="Bodytext30"/>
        <w:shd w:val="clear" w:color="auto" w:fill="auto"/>
        <w:spacing w:after="160" w:line="360" w:lineRule="auto"/>
        <w:ind w:right="40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>Եվրասիական տնտեսական բարձրագույն խորհրդի 2014 թվականի դեկտեմբերի 23-ի թիվ 112 որոշման մեջ կատարվող</w:t>
      </w:r>
    </w:p>
    <w:p w:rsidR="006E2128" w:rsidRPr="00A43ACD" w:rsidRDefault="006E2128" w:rsidP="00A43ACD">
      <w:pPr>
        <w:pStyle w:val="Bodytext30"/>
        <w:shd w:val="clear" w:color="auto" w:fill="auto"/>
        <w:spacing w:after="160" w:line="360" w:lineRule="auto"/>
        <w:ind w:right="40"/>
        <w:rPr>
          <w:rFonts w:ascii="GHEA Grapalat" w:hAnsi="GHEA Grapalat"/>
          <w:sz w:val="24"/>
          <w:szCs w:val="24"/>
        </w:rPr>
      </w:pPr>
    </w:p>
    <w:p w:rsidR="00866C2B" w:rsidRPr="00A43ACD" w:rsidRDefault="00A42045" w:rsidP="00A43ACD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>1.</w:t>
      </w:r>
      <w:r w:rsidR="00A43ACD">
        <w:rPr>
          <w:rFonts w:ascii="GHEA Grapalat" w:hAnsi="GHEA Grapalat"/>
          <w:sz w:val="24"/>
          <w:szCs w:val="24"/>
        </w:rPr>
        <w:tab/>
      </w:r>
      <w:r w:rsidRPr="00A43ACD">
        <w:rPr>
          <w:rFonts w:ascii="GHEA Grapalat" w:hAnsi="GHEA Grapalat"/>
          <w:sz w:val="24"/>
          <w:szCs w:val="24"/>
        </w:rPr>
        <w:t xml:space="preserve">Անվանումը </w:t>
      </w:r>
      <w:r w:rsidR="00FA3F02">
        <w:rPr>
          <w:rFonts w:ascii="GHEA Grapalat" w:hAnsi="GHEA Grapalat"/>
          <w:sz w:val="24"/>
          <w:szCs w:val="24"/>
        </w:rPr>
        <w:t>և</w:t>
      </w:r>
      <w:r w:rsidRPr="00A43ACD">
        <w:rPr>
          <w:rFonts w:ascii="GHEA Grapalat" w:hAnsi="GHEA Grapalat"/>
          <w:sz w:val="24"/>
          <w:szCs w:val="24"/>
        </w:rPr>
        <w:t xml:space="preserve"> 1-ին կետը «շրջանակներում» բառից հետո լրացնել «Հայաստանի Հանրապետության,» բառերով:</w:t>
      </w:r>
    </w:p>
    <w:p w:rsidR="006E2128" w:rsidRPr="00A43ACD" w:rsidRDefault="00A42045" w:rsidP="00A43ACD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>2.</w:t>
      </w:r>
      <w:r w:rsidR="00A43ACD">
        <w:rPr>
          <w:rFonts w:ascii="GHEA Grapalat" w:hAnsi="GHEA Grapalat"/>
          <w:sz w:val="24"/>
          <w:szCs w:val="24"/>
        </w:rPr>
        <w:tab/>
      </w:r>
      <w:r w:rsidRPr="00A43ACD">
        <w:rPr>
          <w:rFonts w:ascii="GHEA Grapalat" w:hAnsi="GHEA Grapalat"/>
          <w:sz w:val="24"/>
          <w:szCs w:val="24"/>
        </w:rPr>
        <w:t xml:space="preserve">Լրացնել Եվրասիական տնտեսական միության շրջանակներում Հայաստանի Հանրապետության համար սահմանափակումների, բացառումների, լրացուցիչ պահանջների </w:t>
      </w:r>
      <w:r w:rsidR="00FA3F02">
        <w:rPr>
          <w:rFonts w:ascii="GHEA Grapalat" w:hAnsi="GHEA Grapalat"/>
          <w:sz w:val="24"/>
          <w:szCs w:val="24"/>
        </w:rPr>
        <w:t>և</w:t>
      </w:r>
      <w:r w:rsidRPr="00A43ACD">
        <w:rPr>
          <w:rFonts w:ascii="GHEA Grapalat" w:hAnsi="GHEA Grapalat"/>
          <w:sz w:val="24"/>
          <w:szCs w:val="24"/>
        </w:rPr>
        <w:t xml:space="preserve"> պայմանների անհատական ազգային ցանկով՝ հետ</w:t>
      </w:r>
      <w:r w:rsidR="00FA3F02">
        <w:rPr>
          <w:rFonts w:ascii="GHEA Grapalat" w:hAnsi="GHEA Grapalat"/>
          <w:sz w:val="24"/>
          <w:szCs w:val="24"/>
        </w:rPr>
        <w:t>և</w:t>
      </w:r>
      <w:r w:rsidRPr="00A43ACD">
        <w:rPr>
          <w:rFonts w:ascii="GHEA Grapalat" w:hAnsi="GHEA Grapalat"/>
          <w:sz w:val="24"/>
          <w:szCs w:val="24"/>
        </w:rPr>
        <w:t>յալ բովանդակությամբ.</w:t>
      </w:r>
    </w:p>
    <w:p w:rsidR="006E2128" w:rsidRPr="00A43ACD" w:rsidRDefault="006E2128" w:rsidP="00A43ACD">
      <w:pPr>
        <w:pStyle w:val="Bodytext4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  <w:szCs w:val="24"/>
        </w:rPr>
      </w:pPr>
    </w:p>
    <w:p w:rsidR="006E2128" w:rsidRPr="00A43ACD" w:rsidRDefault="006E2128" w:rsidP="00A43ACD">
      <w:pPr>
        <w:pStyle w:val="Bodytext4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  <w:szCs w:val="24"/>
        </w:rPr>
        <w:sectPr w:rsidR="006E2128" w:rsidRPr="00A43ACD" w:rsidSect="00D47B00">
          <w:headerReference w:type="default" r:id="rId9"/>
          <w:headerReference w:type="first" r:id="rId10"/>
          <w:pgSz w:w="11900" w:h="16840" w:code="9"/>
          <w:pgMar w:top="1418" w:right="1418" w:bottom="1418" w:left="1418" w:header="0" w:footer="6" w:gutter="0"/>
          <w:pgNumType w:start="1"/>
          <w:cols w:space="720"/>
          <w:noEndnote/>
          <w:docGrid w:linePitch="360"/>
        </w:sectPr>
      </w:pPr>
    </w:p>
    <w:p w:rsidR="00866C2B" w:rsidRPr="00A43ACD" w:rsidRDefault="00266362" w:rsidP="00736782">
      <w:pPr>
        <w:pStyle w:val="Bodytext40"/>
        <w:shd w:val="clear" w:color="auto" w:fill="auto"/>
        <w:spacing w:before="0" w:after="160" w:line="360" w:lineRule="auto"/>
        <w:ind w:left="7938"/>
        <w:jc w:val="center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lastRenderedPageBreak/>
        <w:t>«ՀԱՍՏԱՏՎԱԾ Է</w:t>
      </w:r>
    </w:p>
    <w:p w:rsidR="00736782" w:rsidRDefault="00266362" w:rsidP="00736782">
      <w:pPr>
        <w:pStyle w:val="Bodytext40"/>
        <w:shd w:val="clear" w:color="auto" w:fill="auto"/>
        <w:spacing w:before="0" w:after="160" w:line="360" w:lineRule="auto"/>
        <w:ind w:left="7938"/>
        <w:jc w:val="center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</w:p>
    <w:p w:rsidR="00866C2B" w:rsidRPr="00FA3F02" w:rsidRDefault="00FA3F02" w:rsidP="00736782">
      <w:pPr>
        <w:pStyle w:val="Bodytext40"/>
        <w:shd w:val="clear" w:color="auto" w:fill="auto"/>
        <w:spacing w:before="0" w:after="160" w:line="360" w:lineRule="auto"/>
        <w:ind w:left="9639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en-US"/>
        </w:rPr>
        <w:t>14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Pr="00743721">
        <w:rPr>
          <w:rFonts w:ascii="GHEA Grapalat" w:hAnsi="GHEA Grapalat"/>
          <w:sz w:val="24"/>
          <w:szCs w:val="24"/>
        </w:rPr>
        <w:t>ի 20</w:t>
      </w:r>
      <w:r>
        <w:rPr>
          <w:rFonts w:ascii="GHEA Grapalat" w:hAnsi="GHEA Grapalat"/>
          <w:sz w:val="24"/>
          <w:szCs w:val="24"/>
        </w:rPr>
        <w:t>15</w:t>
      </w:r>
      <w:r w:rsidRPr="00743721">
        <w:rPr>
          <w:rFonts w:ascii="GHEA Grapalat" w:hAnsi="GHEA Grapalat"/>
          <w:sz w:val="24"/>
          <w:szCs w:val="24"/>
        </w:rPr>
        <w:t xml:space="preserve"> </w:t>
      </w:r>
      <w:r w:rsidRPr="00743721"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br/>
      </w:r>
      <w:r w:rsidRPr="00743721">
        <w:rPr>
          <w:rFonts w:ascii="GHEA Grapalat" w:hAnsi="GHEA Grapalat" w:cs="Sylfaen"/>
          <w:sz w:val="24"/>
          <w:szCs w:val="24"/>
        </w:rPr>
        <w:t>թիվ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30</w:t>
      </w:r>
      <w:r>
        <w:rPr>
          <w:rFonts w:ascii="GHEA Grapalat" w:hAnsi="GHEA Grapalat" w:cs="Sylfaen"/>
          <w:sz w:val="24"/>
          <w:szCs w:val="24"/>
        </w:rPr>
        <w:t xml:space="preserve"> որոշմա</w:t>
      </w:r>
      <w:r>
        <w:rPr>
          <w:rFonts w:ascii="GHEA Grapalat" w:hAnsi="GHEA Grapalat" w:cs="Sylfaen"/>
          <w:sz w:val="24"/>
          <w:szCs w:val="24"/>
          <w:lang w:val="en-US"/>
        </w:rPr>
        <w:t>մբ</w:t>
      </w:r>
      <w:bookmarkStart w:id="1" w:name="_GoBack"/>
      <w:bookmarkEnd w:id="1"/>
    </w:p>
    <w:p w:rsidR="006E2128" w:rsidRPr="00A43ACD" w:rsidRDefault="00266362" w:rsidP="00736782">
      <w:pPr>
        <w:pStyle w:val="Heading20"/>
        <w:keepNext/>
        <w:keepLines/>
        <w:shd w:val="clear" w:color="auto" w:fill="auto"/>
        <w:spacing w:before="0" w:after="160" w:line="360" w:lineRule="auto"/>
        <w:ind w:left="1134" w:right="1530" w:firstLine="0"/>
        <w:rPr>
          <w:rStyle w:val="Heading2Spacing2pt"/>
          <w:rFonts w:ascii="GHEA Grapalat" w:hAnsi="GHEA Grapalat"/>
          <w:b/>
          <w:bCs/>
          <w:spacing w:val="0"/>
          <w:sz w:val="24"/>
          <w:szCs w:val="24"/>
        </w:rPr>
      </w:pPr>
      <w:bookmarkStart w:id="2" w:name="bookmark6"/>
      <w:r w:rsidRPr="00A43ACD">
        <w:rPr>
          <w:rStyle w:val="Heading2Spacing2pt"/>
          <w:rFonts w:ascii="GHEA Grapalat" w:hAnsi="GHEA Grapalat"/>
          <w:b/>
          <w:spacing w:val="0"/>
          <w:sz w:val="24"/>
          <w:szCs w:val="24"/>
        </w:rPr>
        <w:t>ԱՆՀԱՏԱԿԱՆ ԱԶԳԱՅԻՆ ՑԱՆԿ</w:t>
      </w:r>
    </w:p>
    <w:p w:rsidR="00866C2B" w:rsidRPr="00A43ACD" w:rsidRDefault="00266362" w:rsidP="00736782">
      <w:pPr>
        <w:pStyle w:val="Heading20"/>
        <w:keepNext/>
        <w:keepLines/>
        <w:shd w:val="clear" w:color="auto" w:fill="auto"/>
        <w:spacing w:before="0" w:after="160" w:line="360" w:lineRule="auto"/>
        <w:ind w:left="1134" w:right="1530" w:firstLine="0"/>
        <w:rPr>
          <w:rFonts w:ascii="GHEA Grapalat" w:hAnsi="GHEA Grapalat"/>
          <w:sz w:val="24"/>
          <w:szCs w:val="24"/>
        </w:rPr>
      </w:pPr>
      <w:r w:rsidRPr="00A43ACD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Հայաստանի Հանրապետության համար սահմանափակումների, բացառումների, լրացուցիչ պահանջների </w:t>
      </w:r>
      <w:r w:rsidR="00FA3F02">
        <w:rPr>
          <w:rFonts w:ascii="GHEA Grapalat" w:hAnsi="GHEA Grapalat"/>
          <w:sz w:val="24"/>
          <w:szCs w:val="24"/>
        </w:rPr>
        <w:t>և</w:t>
      </w:r>
      <w:r w:rsidRPr="00A43ACD">
        <w:rPr>
          <w:rFonts w:ascii="GHEA Grapalat" w:hAnsi="GHEA Grapalat"/>
          <w:sz w:val="24"/>
          <w:szCs w:val="24"/>
        </w:rPr>
        <w:t xml:space="preserve"> պայմանների</w:t>
      </w:r>
      <w:bookmarkEnd w:id="2"/>
    </w:p>
    <w:p w:rsidR="00866C2B" w:rsidRPr="00A43ACD" w:rsidRDefault="00866C2B" w:rsidP="00A43ACD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14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4"/>
        <w:gridCol w:w="26"/>
        <w:gridCol w:w="3254"/>
        <w:gridCol w:w="18"/>
        <w:gridCol w:w="5987"/>
      </w:tblGrid>
      <w:tr w:rsidR="00866C2B" w:rsidRPr="00A43ACD" w:rsidTr="00AE1C5B">
        <w:trPr>
          <w:tblHeader/>
          <w:jc w:val="center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Սահմանափակումների, բացառումների, լրացուցիչ պահանջների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պայմանների նկարագրությունը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Սահմանափակման, բացառման, լրացուցիչ պահանջի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պայմանի տեսակը (Պայմանագրի թիվ 16 հավելվածի կետեր)</w:t>
            </w:r>
          </w:p>
        </w:tc>
        <w:tc>
          <w:tcPr>
            <w:tcW w:w="6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620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Միջազգային պայմանագիր, նորմատիվ իրավական ակտ</w:t>
            </w:r>
          </w:p>
        </w:tc>
      </w:tr>
      <w:tr w:rsidR="00866C2B" w:rsidRPr="00A43ACD" w:rsidTr="00AE1C5B">
        <w:trPr>
          <w:jc w:val="center"/>
        </w:trPr>
        <w:tc>
          <w:tcPr>
            <w:tcW w:w="14789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99" w:right="69" w:firstLine="426"/>
              <w:jc w:val="both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«Ծառայությունների առ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տրի, հիմնադրման, գործունեության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ներդրումների իրականացման մասին» արձանագրության («Եվրասիական տնտեսական միության մասին» 2014 թվականի մայիսի 29-ի պայմանագրի (այսուհետ՝ Պայմանագիր) թիվ 16 հավելված) 38-րդ կետի 1-ին ենթակետի հիման վրա ծառայությունների այն ոլորտներում, որոնցում Եվրասիական տնտեսական միության շրջանակներում գործում է ծառայությունների միասնական շուկա, չեն կիրառվում սահմանափակումներ, բացառումներ, լրացուցիչ պահանջներ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պայմաններ՝ «Հայաստանի Հանրապետության՝</w:t>
            </w:r>
            <w:r w:rsidR="006208EF" w:rsidRPr="006208EF">
              <w:rPr>
                <w:rFonts w:ascii="GHEA Grapalat" w:hAnsi="GHEA Grapalat"/>
              </w:rPr>
              <w:t xml:space="preserve"> </w:t>
            </w:r>
            <w:r w:rsidRPr="00A43ACD">
              <w:rPr>
                <w:rFonts w:ascii="GHEA Grapalat" w:hAnsi="GHEA Grapalat"/>
              </w:rPr>
              <w:t>«Եվրասիական տնտեսական միության մասին» 2014 թվականի մայիսի 29-ի պայմանագրին միանալու մասին» 2014 թվականի հոկտեմբերի 10-ի պայմանագիրն ուժի մեջ մտնելու օրվանից:</w:t>
            </w:r>
          </w:p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99" w:right="69" w:firstLine="426"/>
              <w:jc w:val="both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>«Ծառայությունների առ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տրի, հիմնադրման, գործունեության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ներդրումների իրականացման մասին» արձանագրության (այսուհետ՝ թիվ 16 հավելված) 38-րդ կետի 1-ին ենթակետի հիման վրա ծառայությունների այն ոլորտների (ենթաոլորտների) ցանկերում, որոնց առնչությամբ Եվրասիական տնտեսական միության շրջանակներում ծառայությունների միասնական շուկայի ձ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ավորումն իրականացվելու է ազատականացման պլաններին համապատասխան, սահմանափակումներ, բացառումներ, լրացուցիչ պահանջներ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պայմաններ չեն կիրառվում այդպիսի ազատականացման պլանների իրագործումից հետո:</w:t>
            </w:r>
          </w:p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99" w:right="69" w:firstLine="426"/>
              <w:jc w:val="both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Թիվ 16 հավելվածի՝ սույն ցանկի երկրորդ սյունակում նշված կետերը Եվրասիական տնտեսական միության անդամ պետությունների (այսուհետ՝ անդամ պետություններ) կողմից կիրառվում են սույն ցանկի առաջին սյունակում նշված ծավալներով </w:t>
            </w:r>
            <w:r w:rsidR="00FA3F02">
              <w:rPr>
                <w:rFonts w:ascii="GHEA Grapalat" w:hAnsi="GHEA Grapalat"/>
              </w:rPr>
              <w:t>և</w:t>
            </w:r>
            <w:r w:rsidR="007D08E2" w:rsidRPr="00A43ACD">
              <w:rPr>
                <w:rFonts w:ascii="GHEA Grapalat" w:hAnsi="GHEA Grapalat"/>
              </w:rPr>
              <w:t xml:space="preserve"> </w:t>
            </w:r>
            <w:r w:rsidRPr="00A43ACD">
              <w:rPr>
                <w:rFonts w:ascii="GHEA Grapalat" w:hAnsi="GHEA Grapalat"/>
              </w:rPr>
              <w:t>պայմաններով:</w:t>
            </w:r>
          </w:p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99" w:right="69" w:firstLine="426"/>
              <w:jc w:val="both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Սույն ցանկը կիրառվում է Պայմանագրի 66-րդ </w:t>
            </w:r>
            <w:r w:rsidR="00FA3F02">
              <w:rPr>
                <w:rFonts w:ascii="GHEA Grapalat" w:hAnsi="GHEA Grapalat"/>
              </w:rPr>
              <w:t>և</w:t>
            </w:r>
            <w:r w:rsidR="007D08E2" w:rsidRPr="00A43ACD">
              <w:rPr>
                <w:rFonts w:ascii="GHEA Grapalat" w:hAnsi="GHEA Grapalat"/>
              </w:rPr>
              <w:t xml:space="preserve"> </w:t>
            </w:r>
            <w:r w:rsidRPr="00A43ACD">
              <w:rPr>
                <w:rFonts w:ascii="GHEA Grapalat" w:hAnsi="GHEA Grapalat"/>
              </w:rPr>
              <w:t>67-րդ հոդվածներին չհակասող մասով։</w:t>
            </w:r>
          </w:p>
        </w:tc>
      </w:tr>
      <w:tr w:rsidR="00866C2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 xml:space="preserve">1. Պայմանագրի XVI, XIX, XX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XXI բաժինների գործողության ոլորտում ներառված ծառայությունների </w:t>
            </w:r>
            <w:r w:rsidR="003147C7" w:rsidRPr="00A43ACD">
              <w:rPr>
                <w:rFonts w:ascii="GHEA Grapalat" w:hAnsi="GHEA Grapalat"/>
              </w:rPr>
              <w:t>ու</w:t>
            </w:r>
            <w:r w:rsidRPr="00A43ACD">
              <w:rPr>
                <w:rFonts w:ascii="GHEA Grapalat" w:hAnsi="GHEA Grapalat"/>
              </w:rPr>
              <w:t xml:space="preserve"> գործունեության տեսակների առնչությամբ Հայաստանի Հանրապետությունը պահպանում է սահմանափակումներ, բացառումներ, լրացուցիչ պահանջներ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պայմաններ կիրառելու իրավունքը՝ Հայաստանի Հանրապետության նորմատիվ իրավական ակտերին </w:t>
            </w:r>
            <w:r w:rsidR="003147C7" w:rsidRPr="00A43ACD">
              <w:rPr>
                <w:rFonts w:ascii="GHEA Grapalat" w:hAnsi="GHEA Grapalat"/>
              </w:rPr>
              <w:t>ու</w:t>
            </w:r>
            <w:r w:rsidR="00F97631" w:rsidRPr="00A43ACD">
              <w:rPr>
                <w:rFonts w:ascii="GHEA Grapalat" w:hAnsi="GHEA Grapalat"/>
              </w:rPr>
              <w:t xml:space="preserve"> </w:t>
            </w:r>
            <w:r w:rsidRPr="00A43ACD">
              <w:rPr>
                <w:rFonts w:ascii="GHEA Grapalat" w:hAnsi="GHEA Grapalat"/>
              </w:rPr>
              <w:t xml:space="preserve">միջազգային պայմանագրերին համապատասխան՝ այնքանով, որքանով դրանք չեն հակասում նշված բաժիններին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</w:t>
            </w:r>
            <w:r w:rsidRPr="00A43ACD">
              <w:rPr>
                <w:rFonts w:ascii="GHEA Grapalat" w:hAnsi="GHEA Grapalat"/>
              </w:rPr>
              <w:lastRenderedPageBreak/>
              <w:t>այն պայմանավորվածություններին, որոնք նշված բաժիններին համապատասխան ձեռք կբերվեն անդամ պետությունների միջ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 xml:space="preserve">16-րդ, 17-րդ, 23-րդ, 26-րդ, 28-րդ, 31-րդ, 33-րդ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35-րդ կետեր</w:t>
            </w:r>
          </w:p>
        </w:tc>
        <w:tc>
          <w:tcPr>
            <w:tcW w:w="5987" w:type="dxa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Պայմանագիր</w:t>
            </w:r>
          </w:p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Հայաստանի Հանրապետության միջազգային պայմանագրեր, Հայաստանի Հանրապետության նորմատիվ իրավական ակտեր</w:t>
            </w:r>
          </w:p>
        </w:tc>
      </w:tr>
      <w:tr w:rsidR="00866C2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  <w:vAlign w:val="center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>2. Այն գործունեությունը, որի իրականացման համար պահանջվում է լիցենզիա, կարող է իրականացվել միայն Հայաստանի Հանրապետության իրավաբանական անձանց կողմից կամ սահմանված կարգով Հայաստանի Հանրապետությունում գրանցված անհատ ձեռնարկատերերի կողմից։ Գործունեության այն տեսակները, որոնց իրականացման համար պահանջվում է լիցենզիա, ինչպես նա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լիցենզավորված անձի կազմակերպական-իրավական ձ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>ի որոշման կարգը սահմանվում են Հայաստանի Հանրապետության օրենսդրությամբ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23-րդ, 26-րդ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31-րդ կետեր</w:t>
            </w:r>
          </w:p>
        </w:tc>
        <w:tc>
          <w:tcPr>
            <w:tcW w:w="5987" w:type="dxa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«Լիցենզավորման մասին» Հայաստանի Հանրապետության 2001 թվականի մայիսի 30-ի թիվ ՀՕ-193 օրենք</w:t>
            </w:r>
          </w:p>
        </w:tc>
      </w:tr>
      <w:tr w:rsidR="00866C2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  <w:vAlign w:val="bottom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3. Նոտար, նոտարի </w:t>
            </w:r>
            <w:r w:rsidR="006433F2" w:rsidRPr="00A43ACD">
              <w:rPr>
                <w:rFonts w:ascii="GHEA Grapalat" w:hAnsi="GHEA Grapalat"/>
              </w:rPr>
              <w:t>ստաժ</w:t>
            </w:r>
            <w:r w:rsidRPr="00A43ACD">
              <w:rPr>
                <w:rFonts w:ascii="GHEA Grapalat" w:hAnsi="GHEA Grapalat"/>
              </w:rPr>
              <w:t>որ կարող է լինել միայն Հայաստանի Հանրապետության քաղաքացին, եթե այլ բան նախատեսված չէ Հայաստանի Հանրապետության միջազգային պայմանագրերով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23-րդ, 26-րդ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35-րդ կետեր</w:t>
            </w:r>
          </w:p>
        </w:tc>
        <w:tc>
          <w:tcPr>
            <w:tcW w:w="5987" w:type="dxa"/>
            <w:shd w:val="clear" w:color="auto" w:fill="FFFFFF"/>
          </w:tcPr>
          <w:p w:rsidR="00866C2B" w:rsidRPr="00A43ACD" w:rsidRDefault="00266362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«Նոտարիատի մասին» Հայաստանի Հանրապետության 2001 թվականի դեկտեմբերի 4-ի թիվ ՀՕ-274 օրենք</w:t>
            </w:r>
          </w:p>
        </w:tc>
      </w:tr>
      <w:tr w:rsidR="00AE1C5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>4. Օտարերկրացի փաստաբանը չի կարող իրավաբանական օգնություն ցույց տալ պետական կամ ծառայողական գաղտնիքի հետ կապված հարցերով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26-րդ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35-րդ կետեր</w:t>
            </w:r>
          </w:p>
        </w:tc>
        <w:tc>
          <w:tcPr>
            <w:tcW w:w="5987" w:type="dxa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«Փաստաբանության մասին» Հայաստանի Հանրապետության 2004 թվականի դեկտեմբերի 14-ի թիվ ՀՕ-29-Ն օրենք</w:t>
            </w:r>
          </w:p>
        </w:tc>
      </w:tr>
      <w:tr w:rsidR="00AE1C5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  <w:vAlign w:val="center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5. Թիկնապահի ու պահնորդի կարգավիճակ ձեռք բերելու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թիկնապահական ու պահնորդական գործառույթներ իրականացնելու (այդ թվում` զենքի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հատուկ միջոցների գործադրմամբ) իրավունք ունեն Հայաստանի Հանրապետության միայն այն քաղաքացիները, որոնք ունեն թիկնապահի կամ պահնորդի որակավորում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23-րդ, 26-րդ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35-րդ կետեր</w:t>
            </w:r>
          </w:p>
        </w:tc>
        <w:tc>
          <w:tcPr>
            <w:tcW w:w="5987" w:type="dxa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«Մասնավոր պահնորդական գործունեության մասին» Հայաստանի Հանրապետության 2012 թվականի փետրվարի 9-ի թիվ ՀՕ-6-Ն օրենք</w:t>
            </w:r>
          </w:p>
        </w:tc>
      </w:tr>
      <w:tr w:rsidR="00AE1C5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  <w:vAlign w:val="center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6. Պահպանվում է ցանկացած այնպիսի միջոց ներմուծելու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կիրառելու հնարավորությունը, որը հիմնված է համատեղ արտադրության այն համաձայնությունների վրա, որոնց միջոցով տրամադրվում է ազգային ռեժիմ՝ տվյալ համաձայնություններում ընդգրկված տեսալսողական ստեղծագործությունների առնչությամբ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28-րդ կետ</w:t>
            </w:r>
          </w:p>
        </w:tc>
        <w:tc>
          <w:tcPr>
            <w:tcW w:w="5987" w:type="dxa"/>
            <w:shd w:val="clear" w:color="auto" w:fill="FFFFFF"/>
            <w:vAlign w:val="center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Հայաստանի Հանրապետության միջազգային պարտավորությունները, որոնք վերաբերում են ծառայություններին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բխում են «Հայաստանի Հանրապետության՝ «Առ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>տրի համաշխարհային կազմակերպության հիմնադրման մասին» Մարաքեշի 1994 թվականի ապրիլի 15-ի համաձայնագրին միանալու մասին» 2002 թվականի դեկտեմբերի 10-ի արձանագրությունից</w:t>
            </w:r>
          </w:p>
        </w:tc>
      </w:tr>
      <w:tr w:rsidR="00AE1C5B" w:rsidRPr="00A43ACD" w:rsidTr="00AE1C5B">
        <w:trPr>
          <w:jc w:val="center"/>
        </w:trPr>
        <w:tc>
          <w:tcPr>
            <w:tcW w:w="5530" w:type="dxa"/>
            <w:gridSpan w:val="2"/>
            <w:shd w:val="clear" w:color="auto" w:fill="FFFFFF"/>
            <w:vAlign w:val="bottom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7. Պահպանվում է ցանկացած այնպիսի միջոց </w:t>
            </w:r>
            <w:r w:rsidRPr="00A43ACD">
              <w:rPr>
                <w:rFonts w:ascii="GHEA Grapalat" w:hAnsi="GHEA Grapalat"/>
              </w:rPr>
              <w:lastRenderedPageBreak/>
              <w:t xml:space="preserve">ներմուծելու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կիրառելու հնարավորությունը, որով տեսալսողական ստեղծագործությունների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այդպիսի ստեղծագործությունների մատակարարների համար երաշխավորվում են աջակցության ծրագրերին մասնակցությունից բխող օգուտները՝ ծագման որոշակի չափանիշներ պահպանելու դեպքում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>28-րդ կետ</w:t>
            </w:r>
          </w:p>
        </w:tc>
        <w:tc>
          <w:tcPr>
            <w:tcW w:w="5987" w:type="dxa"/>
            <w:shd w:val="clear" w:color="auto" w:fill="FFFFFF"/>
            <w:vAlign w:val="center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Հայաստանի Հանրապետության միջազգային </w:t>
            </w:r>
            <w:r w:rsidRPr="00A43ACD">
              <w:rPr>
                <w:rFonts w:ascii="GHEA Grapalat" w:hAnsi="GHEA Grapalat"/>
              </w:rPr>
              <w:lastRenderedPageBreak/>
              <w:t xml:space="preserve">պարտավորությունները, որոնք վերաբերում են ծառայություններին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բխում են «Հայաստանի Հանրապետության՝ «Առ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>տրի համաշխարհային կազմակերպության հիմնադրման մասին» Մարաքեշի 1994 թվականի ապրիլի 15-ի համաձայնագրին միանալու մասին» 2002 թվականի դեկտեմբերի 10-ի արձանագրությունից</w:t>
            </w:r>
          </w:p>
        </w:tc>
      </w:tr>
      <w:tr w:rsidR="00AE1C5B" w:rsidRPr="00A43ACD" w:rsidTr="009372B7">
        <w:trPr>
          <w:jc w:val="center"/>
        </w:trPr>
        <w:tc>
          <w:tcPr>
            <w:tcW w:w="5530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>8. Հեռուստառադիոընկերությունների կանոնադրական կապիտալում օտարերկրյա կապիտալի բաժինը չի կարող հավասար լինել կամ գերազանցել հեռուստառադիոընկերությունների կողմից որոշումներ կայացնելու համար անհրաժեշտ բաժնետոմսերի 50 %-ը, եթե այլ բան նախատեսված չէ Հայաստանի Հանրապետության միջազգային պայմանագրերով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28-րդ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31-րդ կետեր</w:t>
            </w:r>
          </w:p>
        </w:tc>
        <w:tc>
          <w:tcPr>
            <w:tcW w:w="5987" w:type="dxa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«Հեռուստատեսության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ռադիոյի մասին» Հայաստանի Հանրապետության 2000 թվականի հոկտեմբերի 9-ի թիվ ՀՕ-97 օրենք</w:t>
            </w:r>
          </w:p>
        </w:tc>
      </w:tr>
      <w:tr w:rsidR="00AE1C5B" w:rsidRPr="00A43ACD" w:rsidTr="009372B7">
        <w:trPr>
          <w:jc w:val="center"/>
        </w:trPr>
        <w:tc>
          <w:tcPr>
            <w:tcW w:w="5530" w:type="dxa"/>
            <w:gridSpan w:val="2"/>
            <w:shd w:val="clear" w:color="auto" w:fill="FFFFFF"/>
            <w:vAlign w:val="bottom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60" w:right="129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 xml:space="preserve">9. Հայաստանի Հանրապետության տարածքում ցանկացած այլ անդամ պետության անձի կողմից հիմնարկի նկատմամբ կիրառվում է ցանկացած </w:t>
            </w:r>
            <w:r w:rsidRPr="00A43ACD">
              <w:rPr>
                <w:rFonts w:ascii="GHEA Grapalat" w:hAnsi="GHEA Grapalat"/>
              </w:rPr>
              <w:lastRenderedPageBreak/>
              <w:t xml:space="preserve">սահմանափակում՝ միջուկային էներգետիկայի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ռադիոակտիվ թափոնների հետ վարվելու բնագավառում գործունեություն ու գործառություններ իրականացնելու համար</w:t>
            </w:r>
          </w:p>
        </w:tc>
        <w:tc>
          <w:tcPr>
            <w:tcW w:w="3272" w:type="dxa"/>
            <w:gridSpan w:val="2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75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lastRenderedPageBreak/>
              <w:t xml:space="preserve">23–րդ, 26–րդ, 31–րդ, 33–րդ </w:t>
            </w:r>
            <w:r w:rsidR="00FA3F02">
              <w:rPr>
                <w:rFonts w:ascii="GHEA Grapalat" w:hAnsi="GHEA Grapalat"/>
              </w:rPr>
              <w:t>և</w:t>
            </w:r>
            <w:r w:rsidRPr="00A43ACD">
              <w:rPr>
                <w:rFonts w:ascii="GHEA Grapalat" w:hAnsi="GHEA Grapalat"/>
              </w:rPr>
              <w:t xml:space="preserve"> 35–րդ կետեր</w:t>
            </w:r>
          </w:p>
        </w:tc>
        <w:tc>
          <w:tcPr>
            <w:tcW w:w="5987" w:type="dxa"/>
            <w:shd w:val="clear" w:color="auto" w:fill="FFFFFF"/>
          </w:tcPr>
          <w:p w:rsidR="00AE1C5B" w:rsidRPr="00A43ACD" w:rsidRDefault="00AE1C5B" w:rsidP="00AE1C5B">
            <w:pPr>
              <w:pStyle w:val="Bodytext20"/>
              <w:shd w:val="clear" w:color="auto" w:fill="auto"/>
              <w:spacing w:after="120" w:line="240" w:lineRule="auto"/>
              <w:ind w:left="140" w:right="136"/>
              <w:jc w:val="left"/>
              <w:rPr>
                <w:rFonts w:ascii="GHEA Grapalat" w:hAnsi="GHEA Grapalat"/>
              </w:rPr>
            </w:pPr>
            <w:r w:rsidRPr="00A43ACD">
              <w:rPr>
                <w:rFonts w:ascii="GHEA Grapalat" w:hAnsi="GHEA Grapalat"/>
              </w:rPr>
              <w:t>«Խաղաղ նպատակներով ատոմային էներգիայի անվտանգ օգտագործման մասին» Հայաստանի Հանրապետության 1999 թվականի փետրվարի 1-ի թիվ ՀՕ-285 օրենք</w:t>
            </w:r>
          </w:p>
        </w:tc>
      </w:tr>
    </w:tbl>
    <w:p w:rsidR="00866C2B" w:rsidRPr="00A43ACD" w:rsidRDefault="00866C2B" w:rsidP="00A43ACD">
      <w:pPr>
        <w:spacing w:after="160" w:line="360" w:lineRule="auto"/>
        <w:rPr>
          <w:rFonts w:ascii="GHEA Grapalat" w:hAnsi="GHEA Grapalat"/>
        </w:rPr>
      </w:pPr>
    </w:p>
    <w:sectPr w:rsidR="00866C2B" w:rsidRPr="00A43ACD" w:rsidSect="000858B0">
      <w:headerReference w:type="even" r:id="rId11"/>
      <w:headerReference w:type="default" r:id="rId12"/>
      <w:headerReference w:type="first" r:id="rId13"/>
      <w:pgSz w:w="16840" w:h="11900" w:orient="landscape" w:code="9"/>
      <w:pgMar w:top="1418" w:right="1418" w:bottom="1418" w:left="1418" w:header="30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81" w:rsidRDefault="00617C81" w:rsidP="00866C2B">
      <w:r>
        <w:separator/>
      </w:r>
    </w:p>
  </w:endnote>
  <w:endnote w:type="continuationSeparator" w:id="0">
    <w:p w:rsidR="00617C81" w:rsidRDefault="00617C81" w:rsidP="0086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81" w:rsidRDefault="00617C81"/>
  </w:footnote>
  <w:footnote w:type="continuationSeparator" w:id="0">
    <w:p w:rsidR="00617C81" w:rsidRDefault="00617C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5B" w:rsidRPr="00AE1C5B" w:rsidRDefault="00AE1C5B" w:rsidP="00AE1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5B" w:rsidRDefault="00AE1C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2B" w:rsidRDefault="00866C2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3766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0858B0" w:rsidRPr="000858B0" w:rsidRDefault="000858B0">
        <w:pPr>
          <w:pStyle w:val="Header"/>
          <w:jc w:val="center"/>
          <w:rPr>
            <w:rFonts w:ascii="GHEA Grapalat" w:hAnsi="GHEA Grapalat"/>
          </w:rPr>
        </w:pPr>
        <w:r w:rsidRPr="000858B0">
          <w:rPr>
            <w:rFonts w:ascii="GHEA Grapalat" w:hAnsi="GHEA Grapalat"/>
          </w:rPr>
          <w:fldChar w:fldCharType="begin"/>
        </w:r>
        <w:r w:rsidRPr="000858B0">
          <w:rPr>
            <w:rFonts w:ascii="GHEA Grapalat" w:hAnsi="GHEA Grapalat"/>
          </w:rPr>
          <w:instrText xml:space="preserve"> PAGE   \* MERGEFORMAT </w:instrText>
        </w:r>
        <w:r w:rsidRPr="000858B0">
          <w:rPr>
            <w:rFonts w:ascii="GHEA Grapalat" w:hAnsi="GHEA Grapalat"/>
          </w:rPr>
          <w:fldChar w:fldCharType="separate"/>
        </w:r>
        <w:r w:rsidR="00FA3F02">
          <w:rPr>
            <w:rFonts w:ascii="GHEA Grapalat" w:hAnsi="GHEA Grapalat"/>
            <w:noProof/>
          </w:rPr>
          <w:t>6</w:t>
        </w:r>
        <w:r w:rsidRPr="000858B0">
          <w:rPr>
            <w:rFonts w:ascii="GHEA Grapalat" w:hAnsi="GHEA Grapalat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5B" w:rsidRDefault="00AE1C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718"/>
    <w:multiLevelType w:val="multilevel"/>
    <w:tmpl w:val="70501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F151A"/>
    <w:multiLevelType w:val="multilevel"/>
    <w:tmpl w:val="7346E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10A1F"/>
    <w:multiLevelType w:val="multilevel"/>
    <w:tmpl w:val="71FE8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66C2B"/>
    <w:rsid w:val="00004511"/>
    <w:rsid w:val="000858B0"/>
    <w:rsid w:val="001B1961"/>
    <w:rsid w:val="001B3BAC"/>
    <w:rsid w:val="001D4190"/>
    <w:rsid w:val="001F1B0C"/>
    <w:rsid w:val="00231A81"/>
    <w:rsid w:val="0024707C"/>
    <w:rsid w:val="00266362"/>
    <w:rsid w:val="003147C7"/>
    <w:rsid w:val="004559DD"/>
    <w:rsid w:val="004D7007"/>
    <w:rsid w:val="005019D0"/>
    <w:rsid w:val="00617C81"/>
    <w:rsid w:val="006208EF"/>
    <w:rsid w:val="006433F2"/>
    <w:rsid w:val="00666D4E"/>
    <w:rsid w:val="006862A2"/>
    <w:rsid w:val="006B1C61"/>
    <w:rsid w:val="006E2128"/>
    <w:rsid w:val="00713B16"/>
    <w:rsid w:val="00736782"/>
    <w:rsid w:val="0078722A"/>
    <w:rsid w:val="007D08E2"/>
    <w:rsid w:val="007D7A50"/>
    <w:rsid w:val="007E6535"/>
    <w:rsid w:val="00866C2B"/>
    <w:rsid w:val="008C5E4C"/>
    <w:rsid w:val="008F04E7"/>
    <w:rsid w:val="00945C07"/>
    <w:rsid w:val="00A2639C"/>
    <w:rsid w:val="00A42045"/>
    <w:rsid w:val="00A43ACD"/>
    <w:rsid w:val="00AD2C41"/>
    <w:rsid w:val="00AE1C5B"/>
    <w:rsid w:val="00AE3A21"/>
    <w:rsid w:val="00C64260"/>
    <w:rsid w:val="00C70E34"/>
    <w:rsid w:val="00D16C09"/>
    <w:rsid w:val="00D47B00"/>
    <w:rsid w:val="00DF6725"/>
    <w:rsid w:val="00E614C1"/>
    <w:rsid w:val="00EB3F33"/>
    <w:rsid w:val="00EF5430"/>
    <w:rsid w:val="00F72A26"/>
    <w:rsid w:val="00F97631"/>
    <w:rsid w:val="00FA3F02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6C2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C2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5pt">
    <w:name w:val="Body text (2) + 15 pt"/>
    <w:basedOn w:val="Bodytext2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8">
    <w:name w:val="Body text (8)"/>
    <w:basedOn w:val="DefaultParagraphFont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DefaultParagraphFont"/>
    <w:link w:val="Headerorfooter0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ing12">
    <w:name w:val="Heading #1 (2)"/>
    <w:basedOn w:val="DefaultParagraphFont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14pt">
    <w:name w:val="Body text (4) + 14 pt"/>
    <w:aliases w:val="Bold,Spacing 2 pt"/>
    <w:basedOn w:val="Bodytext4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4pt">
    <w:name w:val="Heading #2 + Spacing 4 pt"/>
    <w:basedOn w:val="Heading2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C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">
    <w:name w:val="Header or footer"/>
    <w:basedOn w:val="Headerorfooter"/>
    <w:rsid w:val="00866C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66C2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C2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6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66C2B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rsid w:val="00866C2B"/>
    <w:pPr>
      <w:shd w:val="clear" w:color="auto" w:fill="FFFFFF"/>
      <w:spacing w:before="1020" w:after="420" w:line="0" w:lineRule="atLeast"/>
      <w:ind w:hanging="3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C2B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866C2B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866C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2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04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42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045"/>
    <w:rPr>
      <w:color w:val="000000"/>
    </w:rPr>
  </w:style>
  <w:style w:type="character" w:customStyle="1" w:styleId="Bodytext2Bold">
    <w:name w:val="Body text (2) + Bold"/>
    <w:basedOn w:val="Bodytext2"/>
    <w:rsid w:val="00A42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E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E3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1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4C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C1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663F-AE8F-4BD1-8464-BF44545B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30</cp:revision>
  <dcterms:created xsi:type="dcterms:W3CDTF">2015-10-01T13:36:00Z</dcterms:created>
  <dcterms:modified xsi:type="dcterms:W3CDTF">2016-04-20T07:26:00Z</dcterms:modified>
</cp:coreProperties>
</file>