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2B6" w:rsidRPr="00C34B90" w:rsidRDefault="00CD59AA" w:rsidP="00C34B90">
      <w:pPr>
        <w:pStyle w:val="Bodytext20"/>
        <w:shd w:val="clear" w:color="auto" w:fill="auto"/>
        <w:spacing w:before="0" w:after="160" w:line="360" w:lineRule="auto"/>
        <w:ind w:left="4678" w:right="-8" w:firstLine="0"/>
        <w:jc w:val="center"/>
        <w:rPr>
          <w:rFonts w:ascii="GHEA Grapalat" w:hAnsi="GHEA Grapalat"/>
          <w:sz w:val="24"/>
          <w:szCs w:val="24"/>
        </w:rPr>
      </w:pPr>
      <w:r w:rsidRPr="00C34B90">
        <w:rPr>
          <w:rFonts w:ascii="GHEA Grapalat" w:hAnsi="GHEA Grapalat"/>
          <w:sz w:val="24"/>
          <w:szCs w:val="24"/>
        </w:rPr>
        <w:t>ՀԱՍՏԱՏՎԱԾ ԵՆ</w:t>
      </w:r>
    </w:p>
    <w:p w:rsidR="00B552B6" w:rsidRPr="00C34B90" w:rsidRDefault="00CD59AA" w:rsidP="00C34B90">
      <w:pPr>
        <w:pStyle w:val="Bodytext20"/>
        <w:shd w:val="clear" w:color="auto" w:fill="auto"/>
        <w:spacing w:before="0" w:after="160" w:line="360" w:lineRule="auto"/>
        <w:ind w:left="4678" w:right="-6" w:firstLine="0"/>
        <w:jc w:val="center"/>
        <w:rPr>
          <w:rFonts w:ascii="GHEA Grapalat" w:hAnsi="GHEA Grapalat"/>
          <w:sz w:val="24"/>
          <w:szCs w:val="24"/>
        </w:rPr>
      </w:pPr>
      <w:r w:rsidRPr="00C34B90">
        <w:rPr>
          <w:rFonts w:ascii="GHEA Grapalat" w:hAnsi="GHEA Grapalat"/>
          <w:sz w:val="24"/>
          <w:szCs w:val="24"/>
        </w:rPr>
        <w:t xml:space="preserve">Եվրասիական տնտեսական հանձնաժողովի խորհրդի </w:t>
      </w:r>
      <w:r w:rsidR="00C34B90">
        <w:rPr>
          <w:rFonts w:ascii="GHEA Grapalat" w:hAnsi="GHEA Grapalat"/>
          <w:sz w:val="24"/>
          <w:szCs w:val="24"/>
        </w:rPr>
        <w:br/>
        <w:t>«</w:t>
      </w:r>
      <w:r w:rsidR="00594EFA">
        <w:rPr>
          <w:rFonts w:ascii="GHEA Grapalat" w:hAnsi="GHEA Grapalat"/>
          <w:sz w:val="24"/>
          <w:szCs w:val="24"/>
          <w:lang w:val="en-US"/>
        </w:rPr>
        <w:t>14</w:t>
      </w:r>
      <w:r w:rsidR="00C34B90">
        <w:rPr>
          <w:rFonts w:ascii="GHEA Grapalat" w:hAnsi="GHEA Grapalat"/>
          <w:sz w:val="24"/>
          <w:szCs w:val="24"/>
        </w:rPr>
        <w:t>»</w:t>
      </w:r>
      <w:r w:rsidR="00594EFA">
        <w:rPr>
          <w:rFonts w:ascii="GHEA Grapalat" w:hAnsi="GHEA Grapalat"/>
          <w:sz w:val="24"/>
          <w:szCs w:val="24"/>
        </w:rPr>
        <w:t xml:space="preserve"> </w:t>
      </w:r>
      <w:proofErr w:type="spellStart"/>
      <w:r w:rsidR="00594EFA">
        <w:rPr>
          <w:rFonts w:ascii="GHEA Grapalat" w:hAnsi="GHEA Grapalat"/>
          <w:sz w:val="24"/>
          <w:szCs w:val="24"/>
          <w:lang w:val="en-US"/>
        </w:rPr>
        <w:t>հուլիս</w:t>
      </w:r>
      <w:proofErr w:type="spellEnd"/>
      <w:r w:rsidR="00C34B90">
        <w:rPr>
          <w:rFonts w:ascii="GHEA Grapalat" w:hAnsi="GHEA Grapalat"/>
          <w:sz w:val="24"/>
          <w:szCs w:val="24"/>
        </w:rPr>
        <w:t>ի</w:t>
      </w:r>
      <w:r w:rsidR="00EE178B">
        <w:rPr>
          <w:rFonts w:ascii="GHEA Grapalat" w:hAnsi="GHEA Grapalat"/>
          <w:sz w:val="24"/>
          <w:szCs w:val="24"/>
        </w:rPr>
        <w:t xml:space="preserve"> </w:t>
      </w:r>
      <w:r w:rsidR="00594EFA">
        <w:rPr>
          <w:rFonts w:ascii="GHEA Grapalat" w:hAnsi="GHEA Grapalat"/>
          <w:sz w:val="24"/>
          <w:szCs w:val="24"/>
        </w:rPr>
        <w:t>2</w:t>
      </w:r>
      <w:r w:rsidR="00594EFA">
        <w:rPr>
          <w:rFonts w:ascii="GHEA Grapalat" w:hAnsi="GHEA Grapalat"/>
          <w:sz w:val="24"/>
          <w:szCs w:val="24"/>
          <w:lang w:val="en-US"/>
        </w:rPr>
        <w:t>015</w:t>
      </w:r>
      <w:r w:rsidRPr="00C34B90">
        <w:rPr>
          <w:rFonts w:ascii="GHEA Grapalat" w:hAnsi="GHEA Grapalat"/>
          <w:sz w:val="24"/>
          <w:szCs w:val="24"/>
        </w:rPr>
        <w:t xml:space="preserve"> թվականի </w:t>
      </w:r>
      <w:r w:rsidR="00C34B90" w:rsidRPr="00C34B90">
        <w:rPr>
          <w:rFonts w:ascii="GHEA Grapalat" w:hAnsi="GHEA Grapalat"/>
          <w:sz w:val="24"/>
          <w:szCs w:val="24"/>
        </w:rPr>
        <w:br/>
      </w:r>
      <w:r w:rsidR="00594EFA">
        <w:rPr>
          <w:rFonts w:ascii="GHEA Grapalat" w:hAnsi="GHEA Grapalat"/>
          <w:sz w:val="24"/>
          <w:szCs w:val="24"/>
        </w:rPr>
        <w:t xml:space="preserve">թիվ </w:t>
      </w:r>
      <w:r w:rsidR="00594EFA">
        <w:rPr>
          <w:rFonts w:ascii="GHEA Grapalat" w:hAnsi="GHEA Grapalat"/>
          <w:sz w:val="24"/>
          <w:szCs w:val="24"/>
          <w:lang w:val="en-US"/>
        </w:rPr>
        <w:t>65</w:t>
      </w:r>
      <w:r w:rsidR="00BA0F33">
        <w:rPr>
          <w:rFonts w:ascii="GHEA Grapalat" w:hAnsi="GHEA Grapalat"/>
          <w:sz w:val="24"/>
          <w:szCs w:val="24"/>
          <w:lang w:val="en-US"/>
        </w:rPr>
        <w:t xml:space="preserve"> </w:t>
      </w:r>
      <w:r w:rsidRPr="00C34B90">
        <w:rPr>
          <w:rFonts w:ascii="GHEA Grapalat" w:hAnsi="GHEA Grapalat"/>
          <w:sz w:val="24"/>
          <w:szCs w:val="24"/>
        </w:rPr>
        <w:t>որոշմամբ</w:t>
      </w:r>
    </w:p>
    <w:p w:rsidR="00C37D8F" w:rsidRPr="00C34B90" w:rsidRDefault="00C37D8F" w:rsidP="00C34B90">
      <w:pPr>
        <w:pStyle w:val="Bodytext20"/>
        <w:shd w:val="clear" w:color="auto" w:fill="auto"/>
        <w:spacing w:before="0" w:after="160" w:line="360" w:lineRule="auto"/>
        <w:ind w:left="4678" w:right="-6" w:firstLine="0"/>
        <w:jc w:val="center"/>
        <w:rPr>
          <w:rFonts w:ascii="GHEA Grapalat" w:hAnsi="GHEA Grapalat"/>
          <w:sz w:val="24"/>
          <w:szCs w:val="24"/>
        </w:rPr>
      </w:pPr>
    </w:p>
    <w:p w:rsidR="00B552B6" w:rsidRPr="00C34B90" w:rsidRDefault="00CD59AA" w:rsidP="00C34B90">
      <w:pPr>
        <w:pStyle w:val="Heading20"/>
        <w:keepNext/>
        <w:keepLines/>
        <w:shd w:val="clear" w:color="auto" w:fill="auto"/>
        <w:spacing w:after="160" w:line="360" w:lineRule="auto"/>
        <w:ind w:left="567" w:right="559" w:firstLine="0"/>
        <w:rPr>
          <w:rFonts w:ascii="GHEA Grapalat" w:hAnsi="GHEA Grapalat"/>
          <w:sz w:val="24"/>
          <w:szCs w:val="24"/>
        </w:rPr>
      </w:pPr>
      <w:bookmarkStart w:id="0" w:name="bookmark5"/>
      <w:r w:rsidRPr="00C34B90">
        <w:rPr>
          <w:rStyle w:val="Heading2Spacing2pt"/>
          <w:rFonts w:ascii="GHEA Grapalat" w:hAnsi="GHEA Grapalat"/>
          <w:b/>
          <w:spacing w:val="0"/>
          <w:sz w:val="24"/>
          <w:szCs w:val="24"/>
        </w:rPr>
        <w:t>ԱՌԱՋԱՐԿՈՒԹՅՈՒՆՆԵՐ</w:t>
      </w:r>
      <w:bookmarkEnd w:id="0"/>
    </w:p>
    <w:p w:rsidR="00B552B6" w:rsidRDefault="00CD59AA" w:rsidP="00C34B90">
      <w:pPr>
        <w:pStyle w:val="Bodytext30"/>
        <w:shd w:val="clear" w:color="auto" w:fill="auto"/>
        <w:spacing w:before="0" w:after="160" w:line="360" w:lineRule="auto"/>
        <w:ind w:left="567" w:right="559"/>
        <w:rPr>
          <w:rFonts w:ascii="GHEA Grapalat" w:hAnsi="GHEA Grapalat"/>
          <w:sz w:val="24"/>
          <w:szCs w:val="24"/>
        </w:rPr>
      </w:pPr>
      <w:r w:rsidRPr="00C34B90">
        <w:rPr>
          <w:rFonts w:ascii="GHEA Grapalat" w:hAnsi="GHEA Grapalat"/>
          <w:sz w:val="24"/>
          <w:szCs w:val="24"/>
        </w:rPr>
        <w:t xml:space="preserve">Եվրասիական տնտեսական միության տեխնիկական կանոնակարգի բովանդակության </w:t>
      </w:r>
      <w:r w:rsidR="00BA0F33">
        <w:rPr>
          <w:rFonts w:ascii="GHEA Grapalat" w:hAnsi="GHEA Grapalat"/>
          <w:sz w:val="24"/>
          <w:szCs w:val="24"/>
        </w:rPr>
        <w:t>և</w:t>
      </w:r>
      <w:r w:rsidRPr="00C34B90">
        <w:rPr>
          <w:rFonts w:ascii="GHEA Grapalat" w:hAnsi="GHEA Grapalat"/>
          <w:sz w:val="24"/>
          <w:szCs w:val="24"/>
        </w:rPr>
        <w:t xml:space="preserve"> տիպային կառուցվածքի վերաբերյալ </w:t>
      </w:r>
    </w:p>
    <w:p w:rsidR="00B552B6" w:rsidRPr="00C34B90" w:rsidRDefault="00C34B90"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Pr>
          <w:rFonts w:ascii="GHEA Grapalat" w:hAnsi="GHEA Grapalat"/>
          <w:sz w:val="24"/>
          <w:szCs w:val="24"/>
        </w:rPr>
        <w:t>1.</w:t>
      </w:r>
      <w:r w:rsidRPr="00C34B90">
        <w:rPr>
          <w:rFonts w:ascii="GHEA Grapalat" w:hAnsi="GHEA Grapalat"/>
          <w:sz w:val="24"/>
          <w:szCs w:val="24"/>
        </w:rPr>
        <w:tab/>
      </w:r>
      <w:r w:rsidR="00CD59AA" w:rsidRPr="00C34B90">
        <w:rPr>
          <w:rFonts w:ascii="GHEA Grapalat" w:hAnsi="GHEA Grapalat"/>
          <w:sz w:val="24"/>
          <w:szCs w:val="24"/>
        </w:rPr>
        <w:t>Սույն Առաջարկությունները մշակվել են «Եվրասիական տնտեսական միության մասին» 2014 թվականի մայիսի 29-ի պայմանագրին (այսուհետ՝ Պայմանագիր) համապատասխան</w:t>
      </w:r>
      <w:r w:rsidR="00BB1351" w:rsidRPr="00C34B90">
        <w:rPr>
          <w:rFonts w:ascii="GHEA Grapalat" w:hAnsi="GHEA Grapalat"/>
          <w:sz w:val="24"/>
          <w:szCs w:val="24"/>
        </w:rPr>
        <w:t>,</w:t>
      </w:r>
      <w:r w:rsidR="00CD59AA" w:rsidRPr="00C34B90">
        <w:rPr>
          <w:rFonts w:ascii="GHEA Grapalat" w:hAnsi="GHEA Grapalat"/>
          <w:sz w:val="24"/>
          <w:szCs w:val="24"/>
        </w:rPr>
        <w:t xml:space="preserve"> Եվրասիական տնտեսական բարձրագույն խորհրդի 2014 թվականի դեկտեմբերի 23-ի թիվ 98 որոշմամբ հաստատված՝ Եվրասիական տնտեսական հանձնաժողովի աշխատանքի կանոնակարգով, որոշում են Եվրասիական տնտեսական միության տեխնիկական կանոնակարգի բովանդակությունն ու տիպային կառուցվածքը (այսուհետ համապատասխանաբար՝ Միության տեխնիկական կանոնակարգ, Միություն) </w:t>
      </w:r>
      <w:r w:rsidR="00BA0F33">
        <w:rPr>
          <w:rFonts w:ascii="GHEA Grapalat" w:hAnsi="GHEA Grapalat"/>
          <w:sz w:val="24"/>
          <w:szCs w:val="24"/>
        </w:rPr>
        <w:t>և</w:t>
      </w:r>
      <w:r w:rsidR="00CD59AA" w:rsidRPr="00C34B90">
        <w:rPr>
          <w:rFonts w:ascii="GHEA Grapalat" w:hAnsi="GHEA Grapalat"/>
          <w:sz w:val="24"/>
          <w:szCs w:val="24"/>
        </w:rPr>
        <w:t xml:space="preserve"> հաշվի են առնվում Միության տեխնիկական կանոնակարգերի մշակման ժամանակ:</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2.</w:t>
      </w:r>
      <w:r w:rsidR="00C34B90" w:rsidRPr="00C34B90">
        <w:rPr>
          <w:rFonts w:ascii="GHEA Grapalat" w:hAnsi="GHEA Grapalat"/>
          <w:sz w:val="24"/>
          <w:szCs w:val="24"/>
        </w:rPr>
        <w:tab/>
      </w:r>
      <w:r w:rsidRPr="00C34B90">
        <w:rPr>
          <w:rFonts w:ascii="GHEA Grapalat" w:hAnsi="GHEA Grapalat"/>
          <w:sz w:val="24"/>
          <w:szCs w:val="24"/>
        </w:rPr>
        <w:t>Միության տեխնիկական կանոնակարգի բովանդակությունը որոշելու նպատակով Միության տեխնիկական կանոնակարգի անվանման մեջ նպատակահարմար է նշել այն հիմնական արտադրանքի անվանումը, որի նկատմամբ Միության սույն տեխնիկական կանոնակարգով սահմանվում են պարտադիր պահանջներ:</w:t>
      </w:r>
      <w:r w:rsidR="00C34B90">
        <w:rPr>
          <w:rFonts w:ascii="GHEA Grapalat" w:hAnsi="GHEA Grapalat"/>
          <w:sz w:val="24"/>
          <w:szCs w:val="24"/>
        </w:rPr>
        <w:t xml:space="preserve"> </w:t>
      </w:r>
      <w:r w:rsidRPr="00C34B90">
        <w:rPr>
          <w:rFonts w:ascii="GHEA Grapalat" w:hAnsi="GHEA Grapalat"/>
          <w:sz w:val="24"/>
          <w:szCs w:val="24"/>
        </w:rPr>
        <w:t>Առաջարկվում է Միության</w:t>
      </w:r>
      <w:bookmarkStart w:id="1" w:name="_GoBack"/>
      <w:bookmarkEnd w:id="1"/>
      <w:r w:rsidRPr="00C34B90">
        <w:rPr>
          <w:rFonts w:ascii="GHEA Grapalat" w:hAnsi="GHEA Grapalat"/>
          <w:sz w:val="24"/>
          <w:szCs w:val="24"/>
        </w:rPr>
        <w:t xml:space="preserve"> տեխնիկական կանոնակարգի անվանումն ավարտել «անվտանգության մասին» բառերով:</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3.</w:t>
      </w:r>
      <w:r w:rsidR="00C34B90" w:rsidRPr="00C34B90">
        <w:rPr>
          <w:rFonts w:ascii="GHEA Grapalat" w:hAnsi="GHEA Grapalat"/>
          <w:sz w:val="24"/>
          <w:szCs w:val="24"/>
        </w:rPr>
        <w:tab/>
      </w:r>
      <w:r w:rsidRPr="00C34B90">
        <w:rPr>
          <w:rFonts w:ascii="GHEA Grapalat" w:hAnsi="GHEA Grapalat"/>
          <w:sz w:val="24"/>
          <w:szCs w:val="24"/>
        </w:rPr>
        <w:t xml:space="preserve">Միության տեխնիկական կանոնակարգի կառուցվածքային տարրեր կարող են լինել բաժինները, կետերը, ենթակետերն ու պարբերությունները: </w:t>
      </w:r>
      <w:r w:rsidRPr="00C34B90">
        <w:rPr>
          <w:rFonts w:ascii="GHEA Grapalat" w:hAnsi="GHEA Grapalat"/>
          <w:sz w:val="24"/>
          <w:szCs w:val="24"/>
        </w:rPr>
        <w:lastRenderedPageBreak/>
        <w:t>Միության տեխնիկական կանոնակարգը կարող է պարունակել այնպիսի կառուցվածքային տարր, ինչպիսին է հավելվածը:</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 xml:space="preserve">Առաջարկվում է բաժինները նշագրել հռոմեական թվերով </w:t>
      </w:r>
      <w:r w:rsidR="00BA0F33">
        <w:rPr>
          <w:rFonts w:ascii="GHEA Grapalat" w:hAnsi="GHEA Grapalat"/>
          <w:sz w:val="24"/>
          <w:szCs w:val="24"/>
        </w:rPr>
        <w:t>և</w:t>
      </w:r>
      <w:r w:rsidRPr="00C34B90">
        <w:rPr>
          <w:rFonts w:ascii="GHEA Grapalat" w:hAnsi="GHEA Grapalat"/>
          <w:sz w:val="24"/>
          <w:szCs w:val="24"/>
        </w:rPr>
        <w:t xml:space="preserve"> միջակետով: Առաջարկվում է նշել տեքստի համապատասխան մասերի բովանդակությունն արտացոլող բաժինների անվանումները: Բաժիններն իրենց մեջ կարող են ներառել կետեր: Պետք չէ նշել կետերի անվանումները: Կետերը կարող են համարակալվել արաբական թվերով ու կետով </w:t>
      </w:r>
      <w:r w:rsidR="00BA0F33">
        <w:rPr>
          <w:rFonts w:ascii="GHEA Grapalat" w:hAnsi="GHEA Grapalat"/>
          <w:sz w:val="24"/>
          <w:szCs w:val="24"/>
        </w:rPr>
        <w:t>և</w:t>
      </w:r>
      <w:r w:rsidRPr="00C34B90">
        <w:rPr>
          <w:rFonts w:ascii="GHEA Grapalat" w:hAnsi="GHEA Grapalat"/>
          <w:sz w:val="24"/>
          <w:szCs w:val="24"/>
        </w:rPr>
        <w:t xml:space="preserve"> ստորաբաժանվել ենթակետերի: Ենթակետերը կարող են նշագրվել տառերով կամ արաբական թվերով՝ փակվող կլոր փակագծով: Կետերն ու ենթակետերը կարող են ստորաբաժանվել պարբերությունների:</w:t>
      </w:r>
    </w:p>
    <w:p w:rsidR="00B552B6" w:rsidRPr="00C34B90" w:rsidRDefault="00C34B90"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Pr>
          <w:rFonts w:ascii="GHEA Grapalat" w:hAnsi="GHEA Grapalat"/>
          <w:sz w:val="24"/>
          <w:szCs w:val="24"/>
        </w:rPr>
        <w:t>4.</w:t>
      </w:r>
      <w:r w:rsidRPr="00C34B90">
        <w:rPr>
          <w:rFonts w:ascii="GHEA Grapalat" w:hAnsi="GHEA Grapalat"/>
          <w:sz w:val="24"/>
          <w:szCs w:val="24"/>
        </w:rPr>
        <w:tab/>
      </w:r>
      <w:r w:rsidR="00CD59AA" w:rsidRPr="00C34B90">
        <w:rPr>
          <w:rFonts w:ascii="GHEA Grapalat" w:hAnsi="GHEA Grapalat"/>
          <w:sz w:val="24"/>
          <w:szCs w:val="24"/>
        </w:rPr>
        <w:t>Միության տեխնիկական կանոնակարգը կարող է պարունակել հետ</w:t>
      </w:r>
      <w:r w:rsidR="00BA0F33">
        <w:rPr>
          <w:rFonts w:ascii="GHEA Grapalat" w:hAnsi="GHEA Grapalat"/>
          <w:sz w:val="24"/>
          <w:szCs w:val="24"/>
        </w:rPr>
        <w:t>և</w:t>
      </w:r>
      <w:r w:rsidR="00CD59AA" w:rsidRPr="00C34B90">
        <w:rPr>
          <w:rFonts w:ascii="GHEA Grapalat" w:hAnsi="GHEA Grapalat"/>
          <w:sz w:val="24"/>
          <w:szCs w:val="24"/>
        </w:rPr>
        <w:t>յալ բաժինները.</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«Կիրառության ոլորտ»,</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«Հիմնական հասկացություններ»,</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«Արտադրանքի նույնականացման կանոններ»,</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 xml:space="preserve">«Եվրասիական տնտեսական միության շուկայում արտադրանքի շրջանառության կանոններ </w:t>
      </w:r>
      <w:r w:rsidR="00BA0F33">
        <w:rPr>
          <w:rFonts w:ascii="GHEA Grapalat" w:hAnsi="GHEA Grapalat"/>
          <w:sz w:val="24"/>
          <w:szCs w:val="24"/>
        </w:rPr>
        <w:t>և</w:t>
      </w:r>
      <w:r w:rsidRPr="00C34B90">
        <w:rPr>
          <w:rFonts w:ascii="GHEA Grapalat" w:hAnsi="GHEA Grapalat"/>
          <w:sz w:val="24"/>
          <w:szCs w:val="24"/>
        </w:rPr>
        <w:t xml:space="preserve"> (կամ) շահագործման հանձնելու կանոններ»,</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«Տեխնիկական կանոնակարգման օբյեկտներին</w:t>
      </w:r>
      <w:r w:rsidR="00C34B90">
        <w:rPr>
          <w:rFonts w:ascii="GHEA Grapalat" w:hAnsi="GHEA Grapalat"/>
          <w:sz w:val="24"/>
          <w:szCs w:val="24"/>
        </w:rPr>
        <w:t xml:space="preserve"> </w:t>
      </w:r>
      <w:r w:rsidRPr="00C34B90">
        <w:rPr>
          <w:rFonts w:ascii="GHEA Grapalat" w:hAnsi="GHEA Grapalat"/>
          <w:sz w:val="24"/>
          <w:szCs w:val="24"/>
        </w:rPr>
        <w:t>ներկայացվող պահանջներ»,</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«Տեխնիկական կանոնակարգման օբյեկտների համապատասխանության ապահովումը Եվրասիական տնտեսական միության տեխնիկական կանոնակարգի պահանջներին»,</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«Տեխնիկական կանոնակարգման օբյեկտների համապատասխանության գնահատում»,</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«Եվրասիական տնտեսական միության շուկայում արտադրանքի շրջանառության միասնական նշանով մակնշումը»,</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lastRenderedPageBreak/>
        <w:t xml:space="preserve">«Եվրասիական տնտեսական միության տեխնիկական կանոնակարգը գործողության մեջ դնելու կարգը </w:t>
      </w:r>
      <w:r w:rsidR="00BA0F33">
        <w:rPr>
          <w:rFonts w:ascii="GHEA Grapalat" w:hAnsi="GHEA Grapalat"/>
          <w:sz w:val="24"/>
          <w:szCs w:val="24"/>
        </w:rPr>
        <w:t>և</w:t>
      </w:r>
      <w:r w:rsidRPr="00C34B90">
        <w:rPr>
          <w:rFonts w:ascii="GHEA Grapalat" w:hAnsi="GHEA Grapalat"/>
          <w:sz w:val="24"/>
          <w:szCs w:val="24"/>
        </w:rPr>
        <w:t xml:space="preserve"> անցումային դրույթները»:</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5.</w:t>
      </w:r>
      <w:r w:rsidR="00C34B90" w:rsidRPr="00C34B90">
        <w:rPr>
          <w:rFonts w:ascii="GHEA Grapalat" w:hAnsi="GHEA Grapalat"/>
          <w:sz w:val="24"/>
          <w:szCs w:val="24"/>
        </w:rPr>
        <w:tab/>
      </w:r>
      <w:r w:rsidRPr="00C34B90">
        <w:rPr>
          <w:rFonts w:ascii="GHEA Grapalat" w:hAnsi="GHEA Grapalat"/>
          <w:sz w:val="24"/>
          <w:szCs w:val="24"/>
        </w:rPr>
        <w:t xml:space="preserve">Միության տեխնիկական կանոնակարգի դրույթների բովանդակությունը պետք է լինի տրամաբանական, իրավաբանորեն գրագետ, առանց ոճաբանական </w:t>
      </w:r>
      <w:r w:rsidR="00BA0F33">
        <w:rPr>
          <w:rFonts w:ascii="GHEA Grapalat" w:hAnsi="GHEA Grapalat"/>
          <w:sz w:val="24"/>
          <w:szCs w:val="24"/>
        </w:rPr>
        <w:t>և</w:t>
      </w:r>
      <w:r w:rsidRPr="00C34B90">
        <w:rPr>
          <w:rFonts w:ascii="GHEA Grapalat" w:hAnsi="GHEA Grapalat"/>
          <w:sz w:val="24"/>
          <w:szCs w:val="24"/>
        </w:rPr>
        <w:t xml:space="preserve"> քերականական սխալների: Միության տեխնիկական կանոնակարգում պարտադիր պահանջները պետք է շարադրված լինեն հստակ </w:t>
      </w:r>
      <w:r w:rsidR="00BA0F33">
        <w:rPr>
          <w:rFonts w:ascii="GHEA Grapalat" w:hAnsi="GHEA Grapalat"/>
          <w:sz w:val="24"/>
          <w:szCs w:val="24"/>
        </w:rPr>
        <w:t>և</w:t>
      </w:r>
      <w:r w:rsidRPr="00C34B90">
        <w:rPr>
          <w:rFonts w:ascii="GHEA Grapalat" w:hAnsi="GHEA Grapalat"/>
          <w:sz w:val="24"/>
          <w:szCs w:val="24"/>
        </w:rPr>
        <w:t xml:space="preserve"> պարզ՝ դրանց տարբեր մեկնաբանությունների հավանականությունը բացառելու համար։</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Միության տեխնիկական կանոնակարգում չպետք է կրկնվեն Պայմանագրով, ինչպես նա</w:t>
      </w:r>
      <w:r w:rsidR="00BA0F33">
        <w:rPr>
          <w:rFonts w:ascii="GHEA Grapalat" w:hAnsi="GHEA Grapalat"/>
          <w:sz w:val="24"/>
          <w:szCs w:val="24"/>
        </w:rPr>
        <w:t>և</w:t>
      </w:r>
      <w:r w:rsidRPr="00C34B90">
        <w:rPr>
          <w:rFonts w:ascii="GHEA Grapalat" w:hAnsi="GHEA Grapalat"/>
          <w:sz w:val="24"/>
          <w:szCs w:val="24"/>
        </w:rPr>
        <w:t xml:space="preserve"> Միության շրջանակներում կնքված՝ միջազգային այլ պայմանագրերով արդեն սահմանված դրույթները:</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Միության տեխնիկական կանոնակարգում չի թույլատրվում հղումներ կատարել երրորդ երկրների կամ այլ ինտեգրացիոն միավորումների, ինչպես նա</w:t>
      </w:r>
      <w:r w:rsidR="00BA0F33">
        <w:rPr>
          <w:rFonts w:ascii="GHEA Grapalat" w:hAnsi="GHEA Grapalat"/>
          <w:sz w:val="24"/>
          <w:szCs w:val="24"/>
        </w:rPr>
        <w:t>և</w:t>
      </w:r>
      <w:r w:rsidRPr="00C34B90">
        <w:rPr>
          <w:rFonts w:ascii="GHEA Grapalat" w:hAnsi="GHEA Grapalat"/>
          <w:sz w:val="24"/>
          <w:szCs w:val="24"/>
        </w:rPr>
        <w:t xml:space="preserve"> միջազգային կազմակերպությունների ստանդարտներին </w:t>
      </w:r>
      <w:r w:rsidR="00BA0F33">
        <w:rPr>
          <w:rFonts w:ascii="GHEA Grapalat" w:hAnsi="GHEA Grapalat"/>
          <w:sz w:val="24"/>
          <w:szCs w:val="24"/>
        </w:rPr>
        <w:t>և</w:t>
      </w:r>
      <w:r w:rsidRPr="00C34B90">
        <w:rPr>
          <w:rFonts w:ascii="GHEA Grapalat" w:hAnsi="GHEA Grapalat"/>
          <w:sz w:val="24"/>
          <w:szCs w:val="24"/>
        </w:rPr>
        <w:t xml:space="preserve"> ակտերին:</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Միության տեխնիկական կանոնակարգում թույլատրվում է հղումներ կատարել միջազգային պայմանագրերին կամ համաձայնագրերին այն դեպքում, երբ Միության բոլոր անդամ պետություններ</w:t>
      </w:r>
      <w:r w:rsidR="00BB1351" w:rsidRPr="00C34B90">
        <w:rPr>
          <w:rFonts w:ascii="GHEA Grapalat" w:hAnsi="GHEA Grapalat"/>
          <w:sz w:val="24"/>
          <w:szCs w:val="24"/>
        </w:rPr>
        <w:t>ն</w:t>
      </w:r>
      <w:r w:rsidRPr="00C34B90">
        <w:rPr>
          <w:rFonts w:ascii="GHEA Grapalat" w:hAnsi="GHEA Grapalat"/>
          <w:sz w:val="24"/>
          <w:szCs w:val="24"/>
        </w:rPr>
        <w:t xml:space="preserve"> այդպիսի միջազգային պայմանագրերի կամ համաձայնագրերի մասնակիցներ են:</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6.</w:t>
      </w:r>
      <w:r w:rsidR="00C34B90" w:rsidRPr="00C34B90">
        <w:rPr>
          <w:rFonts w:ascii="GHEA Grapalat" w:hAnsi="GHEA Grapalat"/>
          <w:sz w:val="24"/>
          <w:szCs w:val="24"/>
        </w:rPr>
        <w:tab/>
      </w:r>
      <w:r w:rsidRPr="00C34B90">
        <w:rPr>
          <w:rFonts w:ascii="GHEA Grapalat" w:hAnsi="GHEA Grapalat"/>
          <w:sz w:val="24"/>
          <w:szCs w:val="24"/>
        </w:rPr>
        <w:t xml:space="preserve">Միության տեխնիկական կանոնակարգի «Կիրառության ոլորտ» բաժնում պետք է որոշել տեխնիկական կանոնակարգման օբյեկտները </w:t>
      </w:r>
      <w:r w:rsidR="00BA0F33">
        <w:rPr>
          <w:rFonts w:ascii="GHEA Grapalat" w:hAnsi="GHEA Grapalat"/>
          <w:sz w:val="24"/>
          <w:szCs w:val="24"/>
        </w:rPr>
        <w:t>և</w:t>
      </w:r>
      <w:r w:rsidRPr="00C34B90">
        <w:rPr>
          <w:rFonts w:ascii="GHEA Grapalat" w:hAnsi="GHEA Grapalat"/>
          <w:sz w:val="24"/>
          <w:szCs w:val="24"/>
        </w:rPr>
        <w:t xml:space="preserve"> Միության տեխնիկական կանոնակարգի գործողության ոլորտը, ինչպես նա</w:t>
      </w:r>
      <w:r w:rsidR="00BA0F33">
        <w:rPr>
          <w:rFonts w:ascii="GHEA Grapalat" w:hAnsi="GHEA Grapalat"/>
          <w:sz w:val="24"/>
          <w:szCs w:val="24"/>
        </w:rPr>
        <w:t>և</w:t>
      </w:r>
      <w:r w:rsidRPr="00C34B90">
        <w:rPr>
          <w:rFonts w:ascii="GHEA Grapalat" w:hAnsi="GHEA Grapalat"/>
          <w:sz w:val="24"/>
          <w:szCs w:val="24"/>
        </w:rPr>
        <w:t xml:space="preserve"> նպատակահարմար է նշել Միության տեխնիկական կանոնակարգի մշակման նպատակները:</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 xml:space="preserve">Տեխնիկական կանոնակարգման օբյեկտներ են արտադրանքի միասնական ցանկում ընդգրկված այն արտադրանքը, որի նկատմամբ Միության շրջանակներում սահմանվում են պարտադիր պահանջներ (այսուհետ՝ միասնական ցանկ), կամ միասնական ցանկում ընդգրկված արտադրանքը </w:t>
      </w:r>
      <w:r w:rsidR="00BA0F33">
        <w:rPr>
          <w:rFonts w:ascii="GHEA Grapalat" w:hAnsi="GHEA Grapalat"/>
          <w:sz w:val="24"/>
          <w:szCs w:val="24"/>
        </w:rPr>
        <w:t>և</w:t>
      </w:r>
      <w:r w:rsidRPr="00C34B90">
        <w:rPr>
          <w:rFonts w:ascii="GHEA Grapalat" w:hAnsi="GHEA Grapalat"/>
          <w:sz w:val="24"/>
          <w:szCs w:val="24"/>
        </w:rPr>
        <w:t xml:space="preserve"> այդպիսի արտադրանքին ներկայացվող պահանջների հետ կապված՝ </w:t>
      </w:r>
      <w:r w:rsidRPr="00C34B90">
        <w:rPr>
          <w:rFonts w:ascii="GHEA Grapalat" w:hAnsi="GHEA Grapalat"/>
          <w:sz w:val="24"/>
          <w:szCs w:val="24"/>
        </w:rPr>
        <w:lastRenderedPageBreak/>
        <w:t>նախագծման (ներառյալ հետազննությունների), արտադրման, կառուցման, մոնտաժման, կարգաբերման,</w:t>
      </w:r>
      <w:r w:rsidR="00C34B90">
        <w:rPr>
          <w:rFonts w:ascii="GHEA Grapalat" w:hAnsi="GHEA Grapalat"/>
          <w:sz w:val="24"/>
          <w:szCs w:val="24"/>
        </w:rPr>
        <w:t xml:space="preserve"> </w:t>
      </w:r>
      <w:r w:rsidRPr="00C34B90">
        <w:rPr>
          <w:rFonts w:ascii="GHEA Grapalat" w:hAnsi="GHEA Grapalat"/>
          <w:sz w:val="24"/>
          <w:szCs w:val="24"/>
        </w:rPr>
        <w:t xml:space="preserve">շահագործման, պահման, փոխադրման, իրացման </w:t>
      </w:r>
      <w:r w:rsidR="00BA0F33">
        <w:rPr>
          <w:rFonts w:ascii="GHEA Grapalat" w:hAnsi="GHEA Grapalat"/>
          <w:sz w:val="24"/>
          <w:szCs w:val="24"/>
        </w:rPr>
        <w:t>և</w:t>
      </w:r>
      <w:r w:rsidRPr="00C34B90">
        <w:rPr>
          <w:rFonts w:ascii="GHEA Grapalat" w:hAnsi="GHEA Grapalat"/>
          <w:sz w:val="24"/>
          <w:szCs w:val="24"/>
        </w:rPr>
        <w:t xml:space="preserve"> ուտիլիզացման գործընթացները: </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Տեխնիկական կանոնակարգման օբյեկտները նպատակահարմար է որոշել դրանց համար բնորոշ ռիսկերի վերլուծության հիման վրա՝ հաշվի առնելով Միության տեխնիկական կանոնակարգի գործողության ենթադրյալ ոլորտը:</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Այն արտադրանքը, որի վրա տարածվում են Միության տեխնիկական կանոնակարգի պահանջները, Միության տեխնիկական կանոնակարգում որոշվում է նույնականացնող հատկանիշները՝ ներառյալ արտադրանքի բնորոշ հատկությունները (այդ թվում՝ հատկությունների բնութագրերը, արտադրանքը բնութագրող ֆիզիկական մեծությունները,</w:t>
      </w:r>
      <w:r w:rsidR="00C34B90">
        <w:rPr>
          <w:rFonts w:ascii="GHEA Grapalat" w:hAnsi="GHEA Grapalat"/>
          <w:sz w:val="24"/>
          <w:szCs w:val="24"/>
        </w:rPr>
        <w:t xml:space="preserve"> </w:t>
      </w:r>
      <w:r w:rsidRPr="00C34B90">
        <w:rPr>
          <w:rFonts w:ascii="GHEA Grapalat" w:hAnsi="GHEA Grapalat"/>
          <w:sz w:val="24"/>
          <w:szCs w:val="24"/>
        </w:rPr>
        <w:t xml:space="preserve">պարամետրերն ու ցուցանիշները </w:t>
      </w:r>
      <w:r w:rsidR="00BA0F33">
        <w:rPr>
          <w:rFonts w:ascii="GHEA Grapalat" w:hAnsi="GHEA Grapalat"/>
          <w:sz w:val="24"/>
          <w:szCs w:val="24"/>
        </w:rPr>
        <w:t>և</w:t>
      </w:r>
      <w:r w:rsidRPr="00C34B90">
        <w:rPr>
          <w:rFonts w:ascii="GHEA Grapalat" w:hAnsi="GHEA Grapalat"/>
          <w:sz w:val="24"/>
          <w:szCs w:val="24"/>
        </w:rPr>
        <w:t xml:space="preserve"> այլն) նշելու</w:t>
      </w:r>
      <w:r w:rsidR="00C34B90">
        <w:rPr>
          <w:rFonts w:ascii="GHEA Grapalat" w:hAnsi="GHEA Grapalat"/>
          <w:sz w:val="24"/>
          <w:szCs w:val="24"/>
        </w:rPr>
        <w:t xml:space="preserve"> </w:t>
      </w:r>
      <w:r w:rsidR="00BA0F33">
        <w:rPr>
          <w:rFonts w:ascii="GHEA Grapalat" w:hAnsi="GHEA Grapalat"/>
          <w:sz w:val="24"/>
          <w:szCs w:val="24"/>
        </w:rPr>
        <w:t>և</w:t>
      </w:r>
      <w:r w:rsidRPr="00C34B90">
        <w:rPr>
          <w:rFonts w:ascii="GHEA Grapalat" w:hAnsi="GHEA Grapalat"/>
          <w:sz w:val="24"/>
          <w:szCs w:val="24"/>
        </w:rPr>
        <w:t xml:space="preserve"> (կամ) այն արտադրանքի ցանկը ներկայացնելու միջոցով, որի վրա տարածվում են (չեն տարածվում) Միության տեխնիկական կանոնակարգի պահանջները:</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 xml:space="preserve">Այն արտադրանքի ցանկերի զգալի ծավալի դեպքում, որի վրա տարածվում են (չեն տարածվում) Միության տեխնիկական կանոնակարգի պահանջները, թույլատրվում է այդպիսի ցանկերի ներկայացումը Միության տեխնիկական կանոնակարգի հավելվածում: </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Միության տեխնիկական կանոնակարգի գործողության ոլորտը որոշելիս Միության տեխնիկական կանոնակարգի «Կիրառության ոլորտ» բաժնում կարող է սահմանվել, որ Միության տեխնիկական կանոնակարգի գործողությունը տարածվում է (չի տարածվում)</w:t>
      </w:r>
      <w:r w:rsidR="00C34B90">
        <w:rPr>
          <w:rFonts w:ascii="GHEA Grapalat" w:hAnsi="GHEA Grapalat"/>
          <w:sz w:val="24"/>
          <w:szCs w:val="24"/>
        </w:rPr>
        <w:t xml:space="preserve"> </w:t>
      </w:r>
      <w:r w:rsidRPr="00C34B90">
        <w:rPr>
          <w:rFonts w:ascii="GHEA Grapalat" w:hAnsi="GHEA Grapalat"/>
          <w:sz w:val="24"/>
          <w:szCs w:val="24"/>
        </w:rPr>
        <w:t>Միության շուկայում շրջանառության մեջ դրվող (շահագործման հանձնվող) նոր արտադրանքի վրա, նախկինում շրջանառության մեջ չդրված (շահագործման չհանձնված) արտադրանքի վրա, այն արտադրանքի վրա, որը շահագործման մեջ է գտնվում դրա արդիականացման ժամանակ, այն արտադրանքի վրա, որը գտնվել է շահագործման մեջ, ինչպես նա</w:t>
      </w:r>
      <w:r w:rsidR="00BA0F33">
        <w:rPr>
          <w:rFonts w:ascii="GHEA Grapalat" w:hAnsi="GHEA Grapalat"/>
          <w:sz w:val="24"/>
          <w:szCs w:val="24"/>
        </w:rPr>
        <w:t>և</w:t>
      </w:r>
      <w:r w:rsidRPr="00C34B90">
        <w:rPr>
          <w:rFonts w:ascii="GHEA Grapalat" w:hAnsi="GHEA Grapalat"/>
          <w:sz w:val="24"/>
          <w:szCs w:val="24"/>
        </w:rPr>
        <w:t xml:space="preserve"> հիմնավորված դեպքերում կարող են նշվել տեխնիկական կանոնակարգման </w:t>
      </w:r>
      <w:r w:rsidRPr="00C34B90">
        <w:rPr>
          <w:rFonts w:ascii="GHEA Grapalat" w:hAnsi="GHEA Grapalat"/>
          <w:sz w:val="24"/>
          <w:szCs w:val="24"/>
        </w:rPr>
        <w:lastRenderedPageBreak/>
        <w:t xml:space="preserve">օբյեկտների համար բնորոշ վտանգավոր գործոնները: </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Միության տեխնիկական կանոնակարգի գործողության ոլորտը որոշելիս Միության տեխնիկական կանոնակարգի «Կիրառության ոլորտ» բաժնում նա</w:t>
      </w:r>
      <w:r w:rsidR="00BA0F33">
        <w:rPr>
          <w:rFonts w:ascii="GHEA Grapalat" w:hAnsi="GHEA Grapalat"/>
          <w:sz w:val="24"/>
          <w:szCs w:val="24"/>
        </w:rPr>
        <w:t>և</w:t>
      </w:r>
      <w:r w:rsidRPr="00C34B90">
        <w:rPr>
          <w:rFonts w:ascii="GHEA Grapalat" w:hAnsi="GHEA Grapalat"/>
          <w:sz w:val="24"/>
          <w:szCs w:val="24"/>
        </w:rPr>
        <w:t xml:space="preserve"> նպատակահարմար է նշել, որ Միության տեխնիկական կանոնակարգի գործողությունը տարածվում է փաթեթավորմանը, մակնշմանը, պիտակներին </w:t>
      </w:r>
      <w:r w:rsidR="00BA0F33">
        <w:rPr>
          <w:rFonts w:ascii="GHEA Grapalat" w:hAnsi="GHEA Grapalat"/>
          <w:sz w:val="24"/>
          <w:szCs w:val="24"/>
        </w:rPr>
        <w:t>և</w:t>
      </w:r>
      <w:r w:rsidRPr="00C34B90">
        <w:rPr>
          <w:rFonts w:ascii="GHEA Grapalat" w:hAnsi="GHEA Grapalat"/>
          <w:sz w:val="24"/>
          <w:szCs w:val="24"/>
        </w:rPr>
        <w:t xml:space="preserve"> դրանց փակցման կանոններին ներկայացվող պահանջների, սանիտարական պահանջների </w:t>
      </w:r>
      <w:r w:rsidR="00BA0F33">
        <w:rPr>
          <w:rFonts w:ascii="GHEA Grapalat" w:hAnsi="GHEA Grapalat"/>
          <w:sz w:val="24"/>
          <w:szCs w:val="24"/>
        </w:rPr>
        <w:t>և</w:t>
      </w:r>
      <w:r w:rsidRPr="00C34B90">
        <w:rPr>
          <w:rFonts w:ascii="GHEA Grapalat" w:hAnsi="GHEA Grapalat"/>
          <w:sz w:val="24"/>
          <w:szCs w:val="24"/>
        </w:rPr>
        <w:t xml:space="preserve"> ընթացակարգերի, ինչպես նա</w:t>
      </w:r>
      <w:r w:rsidR="00BA0F33">
        <w:rPr>
          <w:rFonts w:ascii="GHEA Grapalat" w:hAnsi="GHEA Grapalat"/>
          <w:sz w:val="24"/>
          <w:szCs w:val="24"/>
        </w:rPr>
        <w:t>և</w:t>
      </w:r>
      <w:r w:rsidRPr="00C34B90">
        <w:rPr>
          <w:rFonts w:ascii="GHEA Grapalat" w:hAnsi="GHEA Grapalat"/>
          <w:sz w:val="24"/>
          <w:szCs w:val="24"/>
        </w:rPr>
        <w:t xml:space="preserve"> ընդհանուր բնույթ կրող անասնաբուժասանիտարական </w:t>
      </w:r>
      <w:r w:rsidR="00BA0F33">
        <w:rPr>
          <w:rFonts w:ascii="GHEA Grapalat" w:hAnsi="GHEA Grapalat"/>
          <w:sz w:val="24"/>
          <w:szCs w:val="24"/>
        </w:rPr>
        <w:t>և</w:t>
      </w:r>
      <w:r w:rsidRPr="00C34B90">
        <w:rPr>
          <w:rFonts w:ascii="GHEA Grapalat" w:hAnsi="GHEA Grapalat"/>
          <w:sz w:val="24"/>
          <w:szCs w:val="24"/>
        </w:rPr>
        <w:t xml:space="preserve"> կարանտինային բուսասանիտարական պահանջների </w:t>
      </w:r>
      <w:r w:rsidR="00BA0F33">
        <w:rPr>
          <w:rFonts w:ascii="GHEA Grapalat" w:hAnsi="GHEA Grapalat"/>
          <w:sz w:val="24"/>
          <w:szCs w:val="24"/>
        </w:rPr>
        <w:t>և</w:t>
      </w:r>
      <w:r w:rsidRPr="00C34B90">
        <w:rPr>
          <w:rFonts w:ascii="GHEA Grapalat" w:hAnsi="GHEA Grapalat"/>
          <w:sz w:val="24"/>
          <w:szCs w:val="24"/>
        </w:rPr>
        <w:t xml:space="preserve"> տեխնիկական կանոնակարգման օբյեկտներին ներկայացվող առանձհատուկ պահանջների վրա այն դեպքում, երբ նշված պահանջներն ու ընթացակարգերը ներկայացված են Միության տեխնիկական կանոնակարգի մյուս բաժիններում:</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 xml:space="preserve">Անհրաժեշտության դեպքում Միության տեխնիկական կանոնակարգի «Կիրառության ոլորտ» բաժնում կարող է նշվել Միության մշակվող տեխնիկական կանոնակարգի </w:t>
      </w:r>
      <w:r w:rsidR="00BA0F33">
        <w:rPr>
          <w:rFonts w:ascii="GHEA Grapalat" w:hAnsi="GHEA Grapalat"/>
          <w:sz w:val="24"/>
          <w:szCs w:val="24"/>
        </w:rPr>
        <w:t>և</w:t>
      </w:r>
      <w:r w:rsidR="00C34B90">
        <w:rPr>
          <w:rFonts w:ascii="GHEA Grapalat" w:hAnsi="GHEA Grapalat"/>
          <w:sz w:val="24"/>
          <w:szCs w:val="24"/>
        </w:rPr>
        <w:t xml:space="preserve"> </w:t>
      </w:r>
      <w:r w:rsidRPr="00C34B90">
        <w:rPr>
          <w:rFonts w:ascii="GHEA Grapalat" w:hAnsi="GHEA Grapalat"/>
          <w:sz w:val="24"/>
          <w:szCs w:val="24"/>
        </w:rPr>
        <w:t>Միության այլ տեխնիկական կանոնակարգերի միջ</w:t>
      </w:r>
      <w:r w:rsidR="00BA0F33">
        <w:rPr>
          <w:rFonts w:ascii="GHEA Grapalat" w:hAnsi="GHEA Grapalat"/>
          <w:sz w:val="24"/>
          <w:szCs w:val="24"/>
        </w:rPr>
        <w:t>և</w:t>
      </w:r>
      <w:r w:rsidRPr="00C34B90">
        <w:rPr>
          <w:rFonts w:ascii="GHEA Grapalat" w:hAnsi="GHEA Grapalat"/>
          <w:sz w:val="24"/>
          <w:szCs w:val="24"/>
        </w:rPr>
        <w:t xml:space="preserve"> փոխկապակցվածությունը:</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7.</w:t>
      </w:r>
      <w:r w:rsidR="00C34B90" w:rsidRPr="00C34B90">
        <w:rPr>
          <w:rFonts w:ascii="GHEA Grapalat" w:hAnsi="GHEA Grapalat"/>
          <w:sz w:val="24"/>
          <w:szCs w:val="24"/>
        </w:rPr>
        <w:tab/>
      </w:r>
      <w:r w:rsidRPr="00C34B90">
        <w:rPr>
          <w:rFonts w:ascii="GHEA Grapalat" w:hAnsi="GHEA Grapalat"/>
          <w:sz w:val="24"/>
          <w:szCs w:val="24"/>
        </w:rPr>
        <w:t>Միության տեխնիկական կանոնակարգի «Հիմնական հասկացություններ» բաժնում պետք է ներկայացնել Միության տեխնիկական</w:t>
      </w:r>
      <w:r w:rsidR="00C34B90">
        <w:rPr>
          <w:rFonts w:ascii="GHEA Grapalat" w:hAnsi="GHEA Grapalat"/>
          <w:sz w:val="24"/>
          <w:szCs w:val="24"/>
        </w:rPr>
        <w:t xml:space="preserve"> </w:t>
      </w:r>
      <w:r w:rsidRPr="00C34B90">
        <w:rPr>
          <w:rFonts w:ascii="GHEA Grapalat" w:hAnsi="GHEA Grapalat"/>
          <w:sz w:val="24"/>
          <w:szCs w:val="24"/>
        </w:rPr>
        <w:t xml:space="preserve">կանոնակարգում օգտագործվող հիմնական հասկացությունների սահմանումները: </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Միության տեխնիկական</w:t>
      </w:r>
      <w:r w:rsidR="00C34B90">
        <w:rPr>
          <w:rFonts w:ascii="GHEA Grapalat" w:hAnsi="GHEA Grapalat"/>
          <w:sz w:val="24"/>
          <w:szCs w:val="24"/>
        </w:rPr>
        <w:t xml:space="preserve"> </w:t>
      </w:r>
      <w:r w:rsidRPr="00C34B90">
        <w:rPr>
          <w:rFonts w:ascii="GHEA Grapalat" w:hAnsi="GHEA Grapalat"/>
          <w:sz w:val="24"/>
          <w:szCs w:val="24"/>
        </w:rPr>
        <w:t xml:space="preserve">կանոնակարգի նշված բաժնում ներկայացվող հասկացությունների սահմանումները պետք է շարադրված լինեն հստակ </w:t>
      </w:r>
      <w:r w:rsidR="00BA0F33">
        <w:rPr>
          <w:rFonts w:ascii="GHEA Grapalat" w:hAnsi="GHEA Grapalat"/>
          <w:sz w:val="24"/>
          <w:szCs w:val="24"/>
        </w:rPr>
        <w:t>և</w:t>
      </w:r>
      <w:r w:rsidRPr="00C34B90">
        <w:rPr>
          <w:rFonts w:ascii="GHEA Grapalat" w:hAnsi="GHEA Grapalat"/>
          <w:sz w:val="24"/>
          <w:szCs w:val="24"/>
        </w:rPr>
        <w:t xml:space="preserve"> պարզ՝ հասկացությունների մեկնաբանման ժամանակ հակասությունների հավանականությունը բացառելու </w:t>
      </w:r>
      <w:r w:rsidR="00BA0F33">
        <w:rPr>
          <w:rFonts w:ascii="GHEA Grapalat" w:hAnsi="GHEA Grapalat"/>
          <w:sz w:val="24"/>
          <w:szCs w:val="24"/>
        </w:rPr>
        <w:t>և</w:t>
      </w:r>
      <w:r w:rsidRPr="00C34B90">
        <w:rPr>
          <w:rFonts w:ascii="GHEA Grapalat" w:hAnsi="GHEA Grapalat"/>
          <w:sz w:val="24"/>
          <w:szCs w:val="24"/>
        </w:rPr>
        <w:t xml:space="preserve"> Միության տեխնիկական կանոնակարգի դրույթների միանշանակ ընկալումն ու միատեսակ կիրառումն ապահովելու համար։ </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 xml:space="preserve">Ընդ որում, հասկացության բովանդակությունը բացելիս պետք է թվարկել ոչ թե դրա բոլոր, այլ միայն էական հատկանիշները՝ հակիրճ </w:t>
      </w:r>
      <w:r w:rsidR="00BA0F33">
        <w:rPr>
          <w:rFonts w:ascii="GHEA Grapalat" w:hAnsi="GHEA Grapalat"/>
          <w:sz w:val="24"/>
          <w:szCs w:val="24"/>
        </w:rPr>
        <w:t>և</w:t>
      </w:r>
      <w:r w:rsidRPr="00C34B90">
        <w:rPr>
          <w:rFonts w:ascii="GHEA Grapalat" w:hAnsi="GHEA Grapalat"/>
          <w:sz w:val="24"/>
          <w:szCs w:val="24"/>
        </w:rPr>
        <w:t xml:space="preserve"> հստակ կերպով </w:t>
      </w:r>
      <w:r w:rsidRPr="00C34B90">
        <w:rPr>
          <w:rFonts w:ascii="GHEA Grapalat" w:hAnsi="GHEA Grapalat"/>
          <w:sz w:val="24"/>
          <w:szCs w:val="24"/>
        </w:rPr>
        <w:lastRenderedPageBreak/>
        <w:t>ձ</w:t>
      </w:r>
      <w:r w:rsidR="00BA0F33">
        <w:rPr>
          <w:rFonts w:ascii="GHEA Grapalat" w:hAnsi="GHEA Grapalat"/>
          <w:sz w:val="24"/>
          <w:szCs w:val="24"/>
        </w:rPr>
        <w:t>և</w:t>
      </w:r>
      <w:r w:rsidRPr="00C34B90">
        <w:rPr>
          <w:rFonts w:ascii="GHEA Grapalat" w:hAnsi="GHEA Grapalat"/>
          <w:sz w:val="24"/>
          <w:szCs w:val="24"/>
        </w:rPr>
        <w:t xml:space="preserve">ակերպելով տրամաբանական կառուցվածքը: </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Համապատասխան սահմանումներով հասկացությունները ներկայացվում են այբբենական կարգով:</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8.</w:t>
      </w:r>
      <w:r w:rsidR="00C34B90" w:rsidRPr="00C34B90">
        <w:rPr>
          <w:rFonts w:ascii="GHEA Grapalat" w:hAnsi="GHEA Grapalat"/>
          <w:sz w:val="24"/>
          <w:szCs w:val="24"/>
        </w:rPr>
        <w:tab/>
      </w:r>
      <w:r w:rsidRPr="00C34B90">
        <w:rPr>
          <w:rFonts w:ascii="GHEA Grapalat" w:hAnsi="GHEA Grapalat"/>
          <w:sz w:val="24"/>
          <w:szCs w:val="24"/>
        </w:rPr>
        <w:t>Միության տեխնիկական</w:t>
      </w:r>
      <w:r w:rsidR="00C34B90">
        <w:rPr>
          <w:rFonts w:ascii="GHEA Grapalat" w:hAnsi="GHEA Grapalat"/>
          <w:sz w:val="24"/>
          <w:szCs w:val="24"/>
        </w:rPr>
        <w:t xml:space="preserve"> </w:t>
      </w:r>
      <w:r w:rsidRPr="00C34B90">
        <w:rPr>
          <w:rFonts w:ascii="GHEA Grapalat" w:hAnsi="GHEA Grapalat"/>
          <w:sz w:val="24"/>
          <w:szCs w:val="24"/>
        </w:rPr>
        <w:t>կանոնակարգի «Արտադրանքի նույնականացման կանոններ» բաժնում նպատակահարմար է սահմանել արտադրանքի նույնականացման կանոնները այն արտադրանքի շարքին դասելու նպատակով, որի նկատմամբ Միության տեխնիկական կանոնակարգով սահմանված են պարտադիր պահանջներ</w:t>
      </w:r>
      <w:r w:rsidR="00BB1351" w:rsidRPr="00C34B90">
        <w:rPr>
          <w:rFonts w:ascii="GHEA Grapalat" w:hAnsi="GHEA Grapalat"/>
          <w:sz w:val="24"/>
          <w:szCs w:val="24"/>
        </w:rPr>
        <w:t>,</w:t>
      </w:r>
      <w:r w:rsidRPr="00C34B90">
        <w:rPr>
          <w:rFonts w:ascii="GHEA Grapalat" w:hAnsi="GHEA Grapalat"/>
          <w:sz w:val="24"/>
          <w:szCs w:val="24"/>
        </w:rPr>
        <w:t xml:space="preserve"> </w:t>
      </w:r>
      <w:r w:rsidR="00BA0F33">
        <w:rPr>
          <w:rFonts w:ascii="GHEA Grapalat" w:hAnsi="GHEA Grapalat"/>
          <w:sz w:val="24"/>
          <w:szCs w:val="24"/>
        </w:rPr>
        <w:t>և</w:t>
      </w:r>
      <w:r w:rsidRPr="00C34B90">
        <w:rPr>
          <w:rFonts w:ascii="GHEA Grapalat" w:hAnsi="GHEA Grapalat"/>
          <w:sz w:val="24"/>
          <w:szCs w:val="24"/>
        </w:rPr>
        <w:t xml:space="preserve"> որի հետ կապված՝ ներկայացված են նույնականացնող հատկանիշներ:</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 xml:space="preserve">Նույնականացնող հատկանիշների շարքին են դասվում արտադրանքի, արտադրանքի տեսակի </w:t>
      </w:r>
      <w:r w:rsidR="00BA0F33">
        <w:rPr>
          <w:rFonts w:ascii="GHEA Grapalat" w:hAnsi="GHEA Grapalat"/>
          <w:sz w:val="24"/>
          <w:szCs w:val="24"/>
        </w:rPr>
        <w:t>և</w:t>
      </w:r>
      <w:r w:rsidRPr="00C34B90">
        <w:rPr>
          <w:rFonts w:ascii="GHEA Grapalat" w:hAnsi="GHEA Grapalat"/>
          <w:sz w:val="24"/>
          <w:szCs w:val="24"/>
        </w:rPr>
        <w:t xml:space="preserve"> արտադրանքի խմբի անվանումը, հատկությունների բնութագրերը ներառող՝ արտադրանքի բնորոշ հատկությունները (այդ թվում՝ զգայորոշման հատկությունները), արտադրանքը բնութագրող ֆիզիկական մեծությունները, պարամետրերն ու ցուցանիշները (այդ թվում՝ դրանց թվային արժեքները) </w:t>
      </w:r>
      <w:r w:rsidR="00BA0F33">
        <w:rPr>
          <w:rFonts w:ascii="GHEA Grapalat" w:hAnsi="GHEA Grapalat"/>
          <w:sz w:val="24"/>
          <w:szCs w:val="24"/>
        </w:rPr>
        <w:t>և</w:t>
      </w:r>
      <w:r w:rsidRPr="00C34B90">
        <w:rPr>
          <w:rFonts w:ascii="GHEA Grapalat" w:hAnsi="GHEA Grapalat"/>
          <w:sz w:val="24"/>
          <w:szCs w:val="24"/>
        </w:rPr>
        <w:t xml:space="preserve"> այլ հատկանիշներ, որոնք հնարավորություն են ընձեռում արտադրանքը միանշանակ կերպով դասելու այնպիսի արտադրանքի շարքին, որի նկատմամբ Միության տեխնիկական կանոնակարգով սահմանված են պարտադիր պահանջներ:</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Միության տեխնիկական կանոնակարգի «Արտադրանքի նույնականացման կանոններ» բաժնում կարող է սահմանվել այն անձանց շրջանակը, որոնք իրականացնում են արտադրանքի նույնականացումը, ինչպես նա</w:t>
      </w:r>
      <w:r w:rsidR="00BA0F33">
        <w:rPr>
          <w:rFonts w:ascii="GHEA Grapalat" w:hAnsi="GHEA Grapalat"/>
          <w:sz w:val="24"/>
          <w:szCs w:val="24"/>
        </w:rPr>
        <w:t>և</w:t>
      </w:r>
      <w:r w:rsidRPr="00C34B90">
        <w:rPr>
          <w:rFonts w:ascii="GHEA Grapalat" w:hAnsi="GHEA Grapalat"/>
          <w:sz w:val="24"/>
          <w:szCs w:val="24"/>
        </w:rPr>
        <w:t xml:space="preserve"> կարող են նշվել արտադրանքի նույնականացումն իրականացնելու եղանակները </w:t>
      </w:r>
      <w:r w:rsidR="00BA0F33">
        <w:rPr>
          <w:rFonts w:ascii="GHEA Grapalat" w:hAnsi="GHEA Grapalat"/>
          <w:sz w:val="24"/>
          <w:szCs w:val="24"/>
        </w:rPr>
        <w:t>և</w:t>
      </w:r>
      <w:r w:rsidRPr="00C34B90">
        <w:rPr>
          <w:rFonts w:ascii="GHEA Grapalat" w:hAnsi="GHEA Grapalat"/>
          <w:sz w:val="24"/>
          <w:szCs w:val="24"/>
        </w:rPr>
        <w:t xml:space="preserve"> (կամ) մեթոդները: Նույնականացում իրականացնելու եղանակների շարքին կարող են դասվել նա</w:t>
      </w:r>
      <w:r w:rsidR="00BA0F33">
        <w:rPr>
          <w:rFonts w:ascii="GHEA Grapalat" w:hAnsi="GHEA Grapalat"/>
          <w:sz w:val="24"/>
          <w:szCs w:val="24"/>
        </w:rPr>
        <w:t>և</w:t>
      </w:r>
      <w:r w:rsidRPr="00C34B90">
        <w:rPr>
          <w:rFonts w:ascii="GHEA Grapalat" w:hAnsi="GHEA Grapalat"/>
          <w:sz w:val="24"/>
          <w:szCs w:val="24"/>
        </w:rPr>
        <w:t xml:space="preserve"> փաստաթղթերի միջոցով նույնականացման եղանակը, նմուշառման կամ փորձարկումների միջոցով</w:t>
      </w:r>
      <w:r w:rsidR="00C34B90">
        <w:rPr>
          <w:rFonts w:ascii="GHEA Grapalat" w:hAnsi="GHEA Grapalat"/>
          <w:sz w:val="24"/>
          <w:szCs w:val="24"/>
        </w:rPr>
        <w:t xml:space="preserve"> </w:t>
      </w:r>
      <w:r w:rsidRPr="00C34B90">
        <w:rPr>
          <w:rFonts w:ascii="GHEA Grapalat" w:hAnsi="GHEA Grapalat"/>
          <w:sz w:val="24"/>
          <w:szCs w:val="24"/>
        </w:rPr>
        <w:t>նույնականացում իրականացնելու եղանակները, իսկ նույնականացում իրականացնելու մեթոդների շարքին կարող են դասվել գործիքային, զգայորոշման, տեսողական մեթոդները:</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lastRenderedPageBreak/>
        <w:t>9.</w:t>
      </w:r>
      <w:r w:rsidR="00C34B90" w:rsidRPr="00C34B90">
        <w:rPr>
          <w:rFonts w:ascii="GHEA Grapalat" w:hAnsi="GHEA Grapalat"/>
          <w:sz w:val="24"/>
          <w:szCs w:val="24"/>
        </w:rPr>
        <w:tab/>
      </w:r>
      <w:r w:rsidRPr="00C34B90">
        <w:rPr>
          <w:rFonts w:ascii="GHEA Grapalat" w:hAnsi="GHEA Grapalat"/>
          <w:sz w:val="24"/>
          <w:szCs w:val="24"/>
        </w:rPr>
        <w:t>Միության տեխնիկական</w:t>
      </w:r>
      <w:r w:rsidR="00C34B90">
        <w:rPr>
          <w:rFonts w:ascii="GHEA Grapalat" w:hAnsi="GHEA Grapalat"/>
          <w:sz w:val="24"/>
          <w:szCs w:val="24"/>
        </w:rPr>
        <w:t xml:space="preserve"> </w:t>
      </w:r>
      <w:r w:rsidRPr="00C34B90">
        <w:rPr>
          <w:rFonts w:ascii="GHEA Grapalat" w:hAnsi="GHEA Grapalat"/>
          <w:sz w:val="24"/>
          <w:szCs w:val="24"/>
        </w:rPr>
        <w:t xml:space="preserve">կանոնակարգի «Եվրասիական տնտեսական միության շուկայում արտադրանքի շրջանառության կանոնները </w:t>
      </w:r>
      <w:r w:rsidR="00BA0F33">
        <w:rPr>
          <w:rFonts w:ascii="GHEA Grapalat" w:hAnsi="GHEA Grapalat"/>
          <w:sz w:val="24"/>
          <w:szCs w:val="24"/>
        </w:rPr>
        <w:t>և</w:t>
      </w:r>
      <w:r w:rsidRPr="00C34B90">
        <w:rPr>
          <w:rFonts w:ascii="GHEA Grapalat" w:hAnsi="GHEA Grapalat"/>
          <w:sz w:val="24"/>
          <w:szCs w:val="24"/>
        </w:rPr>
        <w:t xml:space="preserve"> (կամ) շահագործման հանձնելու կանոնները» բաժնում պետք է սահմանել Միության շուկայում արտադրանքը շրջանառության մեջ դնելու կանոնները, այն արտադրանքի շրջանառության կանոնները </w:t>
      </w:r>
      <w:r w:rsidR="00BA0F33">
        <w:rPr>
          <w:rFonts w:ascii="GHEA Grapalat" w:hAnsi="GHEA Grapalat"/>
          <w:sz w:val="24"/>
          <w:szCs w:val="24"/>
        </w:rPr>
        <w:t>և</w:t>
      </w:r>
      <w:r w:rsidRPr="00C34B90">
        <w:rPr>
          <w:rFonts w:ascii="GHEA Grapalat" w:hAnsi="GHEA Grapalat"/>
          <w:sz w:val="24"/>
          <w:szCs w:val="24"/>
        </w:rPr>
        <w:t xml:space="preserve"> (կամ) շահագործման հանձնելու կանոնները, որի վրա տարածվում է Միության տեխնիկական կանոնակարգի գործողությունը:</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 xml:space="preserve">Նշված բաժնում սահմանվող՝ Միության շուկայում արտադրանքի շրջանառության կանոնները </w:t>
      </w:r>
      <w:r w:rsidR="00BA0F33">
        <w:rPr>
          <w:rFonts w:ascii="GHEA Grapalat" w:hAnsi="GHEA Grapalat"/>
          <w:sz w:val="24"/>
          <w:szCs w:val="24"/>
        </w:rPr>
        <w:t>և</w:t>
      </w:r>
      <w:r w:rsidRPr="00C34B90">
        <w:rPr>
          <w:rFonts w:ascii="GHEA Grapalat" w:hAnsi="GHEA Grapalat"/>
          <w:sz w:val="24"/>
          <w:szCs w:val="24"/>
        </w:rPr>
        <w:t xml:space="preserve"> (կամ) շահագործման հանձնելու կանոնները կարող են պարունակել Միության շուկայում արտադրանքը շրջանառության մեջ դնելու պայմանները, արտադրանքը շրջանառության մեջ դնող կամ այն շահագործման հանձնող անձանց պարտականությունները, այդ թվում՝ արտադրանքի անվտանգության </w:t>
      </w:r>
      <w:r w:rsidR="00BA0F33">
        <w:rPr>
          <w:rFonts w:ascii="GHEA Grapalat" w:hAnsi="GHEA Grapalat"/>
          <w:sz w:val="24"/>
          <w:szCs w:val="24"/>
        </w:rPr>
        <w:t>և</w:t>
      </w:r>
      <w:r w:rsidRPr="00C34B90">
        <w:rPr>
          <w:rFonts w:ascii="GHEA Grapalat" w:hAnsi="GHEA Grapalat"/>
          <w:sz w:val="24"/>
          <w:szCs w:val="24"/>
        </w:rPr>
        <w:t xml:space="preserve"> Միության տեխնիկական կանոնակարգի պահանջներին դրա համապատասխանության ապահովման մասով, տեղեկատվության տրամադրում շահագրգիռ անձանց՝ Միության տեխնիկական</w:t>
      </w:r>
      <w:r w:rsidR="00C34B90">
        <w:rPr>
          <w:rFonts w:ascii="GHEA Grapalat" w:hAnsi="GHEA Grapalat"/>
          <w:sz w:val="24"/>
          <w:szCs w:val="24"/>
        </w:rPr>
        <w:t xml:space="preserve"> </w:t>
      </w:r>
      <w:r w:rsidRPr="00C34B90">
        <w:rPr>
          <w:rFonts w:ascii="GHEA Grapalat" w:hAnsi="GHEA Grapalat"/>
          <w:sz w:val="24"/>
          <w:szCs w:val="24"/>
        </w:rPr>
        <w:t>կանոնակարգի պահանջներին արտադրանքի համապատասխանության մասին, տեղեկատվություն՝ արտադրանքի կառուցվածքի (բաղադրագրի) մեջ կատարվող փոփոխությունների, Միության տեխնիկական</w:t>
      </w:r>
      <w:r w:rsidR="00C34B90">
        <w:rPr>
          <w:rFonts w:ascii="GHEA Grapalat" w:hAnsi="GHEA Grapalat"/>
          <w:sz w:val="24"/>
          <w:szCs w:val="24"/>
        </w:rPr>
        <w:t xml:space="preserve"> </w:t>
      </w:r>
      <w:r w:rsidRPr="00C34B90">
        <w:rPr>
          <w:rFonts w:ascii="GHEA Grapalat" w:hAnsi="GHEA Grapalat"/>
          <w:sz w:val="24"/>
          <w:szCs w:val="24"/>
        </w:rPr>
        <w:t xml:space="preserve">կանոնակարգի պահանջներին չհամապատասխանող արտադրանքի արտադրության կասեցման կամ դադարեցման, այդ արտադրանքը շրջանառության մեջ դնելու </w:t>
      </w:r>
      <w:r w:rsidR="00BA0F33">
        <w:rPr>
          <w:rFonts w:ascii="GHEA Grapalat" w:hAnsi="GHEA Grapalat"/>
          <w:sz w:val="24"/>
          <w:szCs w:val="24"/>
        </w:rPr>
        <w:t>և</w:t>
      </w:r>
      <w:r w:rsidRPr="00C34B90">
        <w:rPr>
          <w:rFonts w:ascii="GHEA Grapalat" w:hAnsi="GHEA Grapalat"/>
          <w:sz w:val="24"/>
          <w:szCs w:val="24"/>
        </w:rPr>
        <w:t xml:space="preserve"> դրա շրջանառության մասին, ինչպես նա</w:t>
      </w:r>
      <w:r w:rsidR="00BA0F33">
        <w:rPr>
          <w:rFonts w:ascii="GHEA Grapalat" w:hAnsi="GHEA Grapalat"/>
          <w:sz w:val="24"/>
          <w:szCs w:val="24"/>
        </w:rPr>
        <w:t>և</w:t>
      </w:r>
      <w:r w:rsidRPr="00C34B90">
        <w:rPr>
          <w:rFonts w:ascii="GHEA Grapalat" w:hAnsi="GHEA Grapalat"/>
          <w:sz w:val="24"/>
          <w:szCs w:val="24"/>
        </w:rPr>
        <w:t xml:space="preserve"> այն արտադրանքի մասին, որի նկատմամբ Միության տեխնիկական</w:t>
      </w:r>
      <w:r w:rsidR="00C34B90">
        <w:rPr>
          <w:rFonts w:ascii="GHEA Grapalat" w:hAnsi="GHEA Grapalat"/>
          <w:sz w:val="24"/>
          <w:szCs w:val="24"/>
        </w:rPr>
        <w:t xml:space="preserve"> </w:t>
      </w:r>
      <w:r w:rsidRPr="00C34B90">
        <w:rPr>
          <w:rFonts w:ascii="GHEA Grapalat" w:hAnsi="GHEA Grapalat"/>
          <w:sz w:val="24"/>
          <w:szCs w:val="24"/>
        </w:rPr>
        <w:t xml:space="preserve">կանոնակարգի պահանջներին համապատասխանության գնահատման մասին փաստաթղթերի գործողությունը կասեցվել կամ դադարեցվել է </w:t>
      </w:r>
      <w:r w:rsidR="00BA0F33">
        <w:rPr>
          <w:rFonts w:ascii="GHEA Grapalat" w:hAnsi="GHEA Grapalat"/>
          <w:sz w:val="24"/>
          <w:szCs w:val="24"/>
        </w:rPr>
        <w:t>և</w:t>
      </w:r>
      <w:r w:rsidRPr="00C34B90">
        <w:rPr>
          <w:rFonts w:ascii="GHEA Grapalat" w:hAnsi="GHEA Grapalat"/>
          <w:sz w:val="24"/>
          <w:szCs w:val="24"/>
        </w:rPr>
        <w:t xml:space="preserve"> այլն:</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10.</w:t>
      </w:r>
      <w:r w:rsidR="00C34B90" w:rsidRPr="00C34B90">
        <w:rPr>
          <w:rFonts w:ascii="GHEA Grapalat" w:hAnsi="GHEA Grapalat"/>
          <w:sz w:val="24"/>
          <w:szCs w:val="24"/>
        </w:rPr>
        <w:tab/>
      </w:r>
      <w:r w:rsidRPr="00C34B90">
        <w:rPr>
          <w:rFonts w:ascii="GHEA Grapalat" w:hAnsi="GHEA Grapalat"/>
          <w:sz w:val="24"/>
          <w:szCs w:val="24"/>
        </w:rPr>
        <w:t xml:space="preserve">Միության տեխնիկական կանոնակարգի «Տեխնիկական կանոնակարգման օբյեկտների նկատմամբ պահանջներ» բաժնում պետք է սահմանել տեխնիկական կանոնակարգման օբյեկտների նկատմամբ պահանջներ՝ Միության տեխնիկական կանոնակարգի տեխնիկական </w:t>
      </w:r>
      <w:r w:rsidRPr="00C34B90">
        <w:rPr>
          <w:rFonts w:ascii="GHEA Grapalat" w:hAnsi="GHEA Grapalat"/>
          <w:sz w:val="24"/>
          <w:szCs w:val="24"/>
        </w:rPr>
        <w:lastRenderedPageBreak/>
        <w:t xml:space="preserve">կանոնակարգման օբյեկտների կազմի </w:t>
      </w:r>
      <w:r w:rsidR="00BA0F33">
        <w:rPr>
          <w:rFonts w:ascii="GHEA Grapalat" w:hAnsi="GHEA Grapalat"/>
          <w:sz w:val="24"/>
          <w:szCs w:val="24"/>
        </w:rPr>
        <w:t>և</w:t>
      </w:r>
      <w:r w:rsidRPr="00C34B90">
        <w:rPr>
          <w:rFonts w:ascii="GHEA Grapalat" w:hAnsi="GHEA Grapalat"/>
          <w:sz w:val="24"/>
          <w:szCs w:val="24"/>
        </w:rPr>
        <w:t xml:space="preserve"> ընդհանուր բնութագրի հիման վրա՝ հաշվի առնելով միջազգային ստանդարտների (ստանդարտացման միջազգային կազմակերպությունների կողմից ընդունված կանոնների, հրահանգների, առաջարկությունների </w:t>
      </w:r>
      <w:r w:rsidR="00BA0F33">
        <w:rPr>
          <w:rFonts w:ascii="GHEA Grapalat" w:hAnsi="GHEA Grapalat"/>
          <w:sz w:val="24"/>
          <w:szCs w:val="24"/>
        </w:rPr>
        <w:t>և</w:t>
      </w:r>
      <w:r w:rsidRPr="00C34B90">
        <w:rPr>
          <w:rFonts w:ascii="GHEA Grapalat" w:hAnsi="GHEA Grapalat"/>
          <w:sz w:val="24"/>
          <w:szCs w:val="24"/>
        </w:rPr>
        <w:t xml:space="preserve"> այլ փաստաթղթերի), իսկ դրանց բացակայության կամ Միության տեխնիկական կանոնակարգի ընդունման նպատակներին անհամապատասխանության դեպքում, այդ թվում՝ կլիմայական </w:t>
      </w:r>
      <w:r w:rsidR="00BA0F33">
        <w:rPr>
          <w:rFonts w:ascii="GHEA Grapalat" w:hAnsi="GHEA Grapalat"/>
          <w:sz w:val="24"/>
          <w:szCs w:val="24"/>
        </w:rPr>
        <w:t>և</w:t>
      </w:r>
      <w:r w:rsidRPr="00C34B90">
        <w:rPr>
          <w:rFonts w:ascii="GHEA Grapalat" w:hAnsi="GHEA Grapalat"/>
          <w:sz w:val="24"/>
          <w:szCs w:val="24"/>
        </w:rPr>
        <w:t xml:space="preserve"> աշխարհագրական գործոնների կամ տեխնոլոգիական </w:t>
      </w:r>
      <w:r w:rsidR="00BA0F33">
        <w:rPr>
          <w:rFonts w:ascii="GHEA Grapalat" w:hAnsi="GHEA Grapalat"/>
          <w:sz w:val="24"/>
          <w:szCs w:val="24"/>
        </w:rPr>
        <w:t>և</w:t>
      </w:r>
      <w:r w:rsidRPr="00C34B90">
        <w:rPr>
          <w:rFonts w:ascii="GHEA Grapalat" w:hAnsi="GHEA Grapalat"/>
          <w:sz w:val="24"/>
          <w:szCs w:val="24"/>
        </w:rPr>
        <w:t xml:space="preserve"> այլ առանձնահատկությունների հետ</w:t>
      </w:r>
      <w:r w:rsidR="00BA0F33">
        <w:rPr>
          <w:rFonts w:ascii="GHEA Grapalat" w:hAnsi="GHEA Grapalat"/>
          <w:sz w:val="24"/>
          <w:szCs w:val="24"/>
        </w:rPr>
        <w:t>և</w:t>
      </w:r>
      <w:r w:rsidRPr="00C34B90">
        <w:rPr>
          <w:rFonts w:ascii="GHEA Grapalat" w:hAnsi="GHEA Grapalat"/>
          <w:sz w:val="24"/>
          <w:szCs w:val="24"/>
        </w:rPr>
        <w:t>անքով,</w:t>
      </w:r>
      <w:r w:rsidR="00C34B90">
        <w:rPr>
          <w:rFonts w:ascii="GHEA Grapalat" w:hAnsi="GHEA Grapalat"/>
          <w:sz w:val="24"/>
          <w:szCs w:val="24"/>
        </w:rPr>
        <w:t xml:space="preserve"> </w:t>
      </w:r>
      <w:r w:rsidRPr="00C34B90">
        <w:rPr>
          <w:rFonts w:ascii="GHEA Grapalat" w:hAnsi="GHEA Grapalat"/>
          <w:sz w:val="24"/>
          <w:szCs w:val="24"/>
        </w:rPr>
        <w:t xml:space="preserve">տարածաշրջանային փաստաթղթերի (կանոնակարգերի, հրահանգների, որոշումների, ստանդարտների, կանոնների </w:t>
      </w:r>
      <w:r w:rsidR="00BA0F33">
        <w:rPr>
          <w:rFonts w:ascii="GHEA Grapalat" w:hAnsi="GHEA Grapalat"/>
          <w:sz w:val="24"/>
          <w:szCs w:val="24"/>
        </w:rPr>
        <w:t>և</w:t>
      </w:r>
      <w:r w:rsidRPr="00C34B90">
        <w:rPr>
          <w:rFonts w:ascii="GHEA Grapalat" w:hAnsi="GHEA Grapalat"/>
          <w:sz w:val="24"/>
          <w:szCs w:val="24"/>
        </w:rPr>
        <w:t xml:space="preserve"> այլ փաստաթղթերի), ազգային (պետական) ստանդարտների, ազգային տեխնիկական կանոնակարգերի </w:t>
      </w:r>
      <w:r w:rsidR="00BA0F33">
        <w:rPr>
          <w:rFonts w:ascii="GHEA Grapalat" w:hAnsi="GHEA Grapalat"/>
          <w:sz w:val="24"/>
          <w:szCs w:val="24"/>
        </w:rPr>
        <w:t>և</w:t>
      </w:r>
      <w:r w:rsidRPr="00C34B90">
        <w:rPr>
          <w:rFonts w:ascii="GHEA Grapalat" w:hAnsi="GHEA Grapalat"/>
          <w:sz w:val="24"/>
          <w:szCs w:val="24"/>
        </w:rPr>
        <w:t xml:space="preserve"> դրանց նախագծերի վերլուծության արդյունքները, որոնց հիման վրա մշակվում է Միության տեխնիկական կանոնակարգի նախագիծը:</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Նշված բաժնում կարող են սահմանվել պահանջներ տեխնիկական կանոնակարգման միայն այն օբյեկտների նկատմամբ, որոնց վրա տարածվում է</w:t>
      </w:r>
      <w:r w:rsidR="00C34B90">
        <w:rPr>
          <w:rFonts w:ascii="GHEA Grapalat" w:hAnsi="GHEA Grapalat"/>
          <w:sz w:val="24"/>
          <w:szCs w:val="24"/>
        </w:rPr>
        <w:t xml:space="preserve"> </w:t>
      </w:r>
      <w:r w:rsidRPr="00C34B90">
        <w:rPr>
          <w:rFonts w:ascii="GHEA Grapalat" w:hAnsi="GHEA Grapalat"/>
          <w:sz w:val="24"/>
          <w:szCs w:val="24"/>
        </w:rPr>
        <w:t>Միության մշակվող տեխնիկական կանոնակարգի գործողությունը՝ Միության սույն տեխնիկական կանոնակարգի «Կիրառության ոլորտ» բաժնին համապատասխան:</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Միության տեխնիկական կանոնակարգի «Տեխնիկական կանոնակարգման օբյեկտներին ներկայացվող պահանջներ» բաժնում կարող են նա</w:t>
      </w:r>
      <w:r w:rsidR="00BA0F33">
        <w:rPr>
          <w:rFonts w:ascii="GHEA Grapalat" w:hAnsi="GHEA Grapalat"/>
          <w:sz w:val="24"/>
          <w:szCs w:val="24"/>
        </w:rPr>
        <w:t>և</w:t>
      </w:r>
      <w:r w:rsidRPr="00C34B90">
        <w:rPr>
          <w:rFonts w:ascii="GHEA Grapalat" w:hAnsi="GHEA Grapalat"/>
          <w:sz w:val="24"/>
          <w:szCs w:val="24"/>
        </w:rPr>
        <w:t xml:space="preserve"> սահմանվել</w:t>
      </w:r>
      <w:r w:rsidR="00BB1351" w:rsidRPr="00C34B90">
        <w:rPr>
          <w:rFonts w:ascii="GHEA Grapalat" w:hAnsi="GHEA Grapalat"/>
          <w:sz w:val="24"/>
          <w:szCs w:val="24"/>
        </w:rPr>
        <w:t>՝</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 xml:space="preserve">փաթեթավորմանը, մակնշմանը, պիտակներին </w:t>
      </w:r>
      <w:r w:rsidR="00BA0F33">
        <w:rPr>
          <w:rFonts w:ascii="GHEA Grapalat" w:hAnsi="GHEA Grapalat"/>
          <w:sz w:val="24"/>
          <w:szCs w:val="24"/>
        </w:rPr>
        <w:t>և</w:t>
      </w:r>
      <w:r w:rsidRPr="00C34B90">
        <w:rPr>
          <w:rFonts w:ascii="GHEA Grapalat" w:hAnsi="GHEA Grapalat"/>
          <w:sz w:val="24"/>
          <w:szCs w:val="24"/>
        </w:rPr>
        <w:t xml:space="preserve"> դրանց փակցման կանոններին ներկայացվող պահանջներ, </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 xml:space="preserve">սանիտարական պահանջներ </w:t>
      </w:r>
      <w:r w:rsidR="00BA0F33">
        <w:rPr>
          <w:rFonts w:ascii="GHEA Grapalat" w:hAnsi="GHEA Grapalat"/>
          <w:sz w:val="24"/>
          <w:szCs w:val="24"/>
        </w:rPr>
        <w:t>և</w:t>
      </w:r>
      <w:r w:rsidRPr="00C34B90">
        <w:rPr>
          <w:rFonts w:ascii="GHEA Grapalat" w:hAnsi="GHEA Grapalat"/>
          <w:sz w:val="24"/>
          <w:szCs w:val="24"/>
        </w:rPr>
        <w:t xml:space="preserve"> ընթացակարգեր,</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 xml:space="preserve">ընդհանուր բնույթ կրող անասնաբուժասանիտարական </w:t>
      </w:r>
      <w:r w:rsidR="00BA0F33">
        <w:rPr>
          <w:rFonts w:ascii="GHEA Grapalat" w:hAnsi="GHEA Grapalat"/>
          <w:sz w:val="24"/>
          <w:szCs w:val="24"/>
        </w:rPr>
        <w:t>և</w:t>
      </w:r>
      <w:r w:rsidRPr="00C34B90">
        <w:rPr>
          <w:rFonts w:ascii="GHEA Grapalat" w:hAnsi="GHEA Grapalat"/>
          <w:sz w:val="24"/>
          <w:szCs w:val="24"/>
        </w:rPr>
        <w:t xml:space="preserve"> կարանտինային բուսասանիտարական պահանջներ,</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 xml:space="preserve">առանձնահատուկ պահանջներ, որոնք արտացոլում են Միության անդամ պետությունների համար բնորոշ՝ կլիմայական </w:t>
      </w:r>
      <w:r w:rsidR="00BA0F33">
        <w:rPr>
          <w:rFonts w:ascii="GHEA Grapalat" w:hAnsi="GHEA Grapalat"/>
          <w:sz w:val="24"/>
          <w:szCs w:val="24"/>
        </w:rPr>
        <w:t>և</w:t>
      </w:r>
      <w:r w:rsidRPr="00C34B90">
        <w:rPr>
          <w:rFonts w:ascii="GHEA Grapalat" w:hAnsi="GHEA Grapalat"/>
          <w:sz w:val="24"/>
          <w:szCs w:val="24"/>
        </w:rPr>
        <w:t xml:space="preserve"> աշխարհագրական գործոնների </w:t>
      </w:r>
      <w:r w:rsidRPr="00C34B90">
        <w:rPr>
          <w:rFonts w:ascii="GHEA Grapalat" w:hAnsi="GHEA Grapalat"/>
          <w:sz w:val="24"/>
          <w:szCs w:val="24"/>
        </w:rPr>
        <w:lastRenderedPageBreak/>
        <w:t xml:space="preserve">կամ տեխնոլոգիական առանձնահատկությունների հետ կապված առանձնահատկությունները </w:t>
      </w:r>
      <w:r w:rsidR="00BA0F33">
        <w:rPr>
          <w:rFonts w:ascii="GHEA Grapalat" w:hAnsi="GHEA Grapalat"/>
          <w:sz w:val="24"/>
          <w:szCs w:val="24"/>
        </w:rPr>
        <w:t>և</w:t>
      </w:r>
      <w:r w:rsidRPr="00C34B90">
        <w:rPr>
          <w:rFonts w:ascii="GHEA Grapalat" w:hAnsi="GHEA Grapalat"/>
          <w:sz w:val="24"/>
          <w:szCs w:val="24"/>
        </w:rPr>
        <w:t xml:space="preserve"> գործում են միայն Միության անդամ պետությունների տարածքներում,</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 xml:space="preserve">արտադրանքին ներկայացվող հատուկ պահանջներ կամ արտադրանքին </w:t>
      </w:r>
      <w:r w:rsidR="00BA0F33">
        <w:rPr>
          <w:rFonts w:ascii="GHEA Grapalat" w:hAnsi="GHEA Grapalat"/>
          <w:sz w:val="24"/>
          <w:szCs w:val="24"/>
        </w:rPr>
        <w:t>և</w:t>
      </w:r>
      <w:r w:rsidRPr="00C34B90">
        <w:rPr>
          <w:rFonts w:ascii="GHEA Grapalat" w:hAnsi="GHEA Grapalat"/>
          <w:sz w:val="24"/>
          <w:szCs w:val="24"/>
        </w:rPr>
        <w:t xml:space="preserve"> արտադրանքին ներկայացված պահանջների հետ կապված նախագծման (ներառյալ հետազննության), արտադրման, կառուցման, մոնտաժման, կարգաբերման, շահագործման, պահման, փոխադրման, իրացման </w:t>
      </w:r>
      <w:r w:rsidR="00BA0F33">
        <w:rPr>
          <w:rFonts w:ascii="GHEA Grapalat" w:hAnsi="GHEA Grapalat"/>
          <w:sz w:val="24"/>
          <w:szCs w:val="24"/>
        </w:rPr>
        <w:t>և</w:t>
      </w:r>
      <w:r w:rsidRPr="00C34B90">
        <w:rPr>
          <w:rFonts w:ascii="GHEA Grapalat" w:hAnsi="GHEA Grapalat"/>
          <w:sz w:val="24"/>
          <w:szCs w:val="24"/>
        </w:rPr>
        <w:t xml:space="preserve"> ուտիլիզացման գործընթացներին ներկայացվող պահանջներ, եզրաբանությանը, փաթեթավորմանը, մակնշմանը, պիտակներին ու դրանց փակցման կանոններին ներկայացվող պահանջներ, որոնք ապահովում են քաղաքացիների առանձին կատեգորիաների (անչափահասների, հղի կանանց, կերակրող մայրերի, հաշմանդամների) պաշտպանությունը՝ հաշվի առնելով վնաս հասցնելու ռիսկի աստիճանը:</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Պահանջների շարադրման նկատմամբ մոտեցումից ելնելով</w:t>
      </w:r>
      <w:r w:rsidR="00BB1351" w:rsidRPr="00C34B90">
        <w:rPr>
          <w:rFonts w:ascii="GHEA Grapalat" w:hAnsi="GHEA Grapalat"/>
          <w:sz w:val="24"/>
          <w:szCs w:val="24"/>
        </w:rPr>
        <w:t>,</w:t>
      </w:r>
      <w:r w:rsidRPr="00C34B90">
        <w:rPr>
          <w:rFonts w:ascii="GHEA Grapalat" w:hAnsi="GHEA Grapalat"/>
          <w:sz w:val="24"/>
          <w:szCs w:val="24"/>
        </w:rPr>
        <w:t xml:space="preserve"> հաշվի առնելով տեխնիկական կանոնակարգման օբյեկտների համար բնորոշ ռիսկերի վերլուծությունը</w:t>
      </w:r>
      <w:r w:rsidR="00BB1351" w:rsidRPr="00C34B90">
        <w:rPr>
          <w:rFonts w:ascii="GHEA Grapalat" w:hAnsi="GHEA Grapalat"/>
          <w:sz w:val="24"/>
          <w:szCs w:val="24"/>
        </w:rPr>
        <w:t>՝</w:t>
      </w:r>
      <w:r w:rsidRPr="00C34B90">
        <w:rPr>
          <w:rFonts w:ascii="GHEA Grapalat" w:hAnsi="GHEA Grapalat"/>
          <w:sz w:val="24"/>
          <w:szCs w:val="24"/>
        </w:rPr>
        <w:t xml:space="preserve"> Միության տեխնիկական կանոնակարգի «Տեխնիկական կանոնակարգման օբյեկտներին ներկայացվող պահանջներ» բաժինը կարող է պարունակել տեխնիկական կանոնակարգման օբյեկտների համար բնորոշ վտանգավոր գործոնների ցանկը </w:t>
      </w:r>
      <w:r w:rsidR="00BA0F33">
        <w:rPr>
          <w:rFonts w:ascii="GHEA Grapalat" w:hAnsi="GHEA Grapalat"/>
          <w:sz w:val="24"/>
          <w:szCs w:val="24"/>
        </w:rPr>
        <w:t>և</w:t>
      </w:r>
      <w:r w:rsidRPr="00C34B90">
        <w:rPr>
          <w:rFonts w:ascii="GHEA Grapalat" w:hAnsi="GHEA Grapalat"/>
          <w:sz w:val="24"/>
          <w:szCs w:val="24"/>
        </w:rPr>
        <w:t xml:space="preserve"> նկարագրությունը, ինչպես նա</w:t>
      </w:r>
      <w:r w:rsidR="00BA0F33">
        <w:rPr>
          <w:rFonts w:ascii="GHEA Grapalat" w:hAnsi="GHEA Grapalat"/>
          <w:sz w:val="24"/>
          <w:szCs w:val="24"/>
        </w:rPr>
        <w:t>և</w:t>
      </w:r>
      <w:r w:rsidRPr="00C34B90">
        <w:rPr>
          <w:rFonts w:ascii="GHEA Grapalat" w:hAnsi="GHEA Grapalat"/>
          <w:sz w:val="24"/>
          <w:szCs w:val="24"/>
        </w:rPr>
        <w:t xml:space="preserve"> Միության տեխնիկական կանոնակարգի տեխնիկական կանոնակարգման օբյեկտներին ներկայացվող պահանջներ, որոնք կարող են սահմանվել ընդհանուր առմամբ </w:t>
      </w:r>
      <w:r w:rsidR="00BA0F33">
        <w:rPr>
          <w:rFonts w:ascii="GHEA Grapalat" w:hAnsi="GHEA Grapalat"/>
          <w:sz w:val="24"/>
          <w:szCs w:val="24"/>
        </w:rPr>
        <w:t>և</w:t>
      </w:r>
      <w:r w:rsidRPr="00C34B90">
        <w:rPr>
          <w:rFonts w:ascii="GHEA Grapalat" w:hAnsi="GHEA Grapalat"/>
          <w:sz w:val="24"/>
          <w:szCs w:val="24"/>
        </w:rPr>
        <w:t xml:space="preserve"> (կամ) պարունակել ցուցանիշների կոնկրետ արժեքներ՝ ներառյալ թվային արժեքները:</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Միության տեխնիկական կանոնակարգի «Տեխնիկական կանոնակարգման օբյեկտներին ներկայացվող պահանջներ» բաժնում ցուցանիշների կոնկրետ արժեքները, այդ թվում՝ թվային արժեքները սահմանելիս պետք է կիրառել Միավորների միջազգային համակարգին (ՄՀ) համապատասխան</w:t>
      </w:r>
      <w:r w:rsidR="00C34B90">
        <w:rPr>
          <w:rFonts w:ascii="GHEA Grapalat" w:hAnsi="GHEA Grapalat"/>
          <w:sz w:val="24"/>
          <w:szCs w:val="24"/>
        </w:rPr>
        <w:t xml:space="preserve"> </w:t>
      </w:r>
      <w:r w:rsidRPr="00C34B90">
        <w:rPr>
          <w:rFonts w:ascii="GHEA Grapalat" w:hAnsi="GHEA Grapalat"/>
          <w:sz w:val="24"/>
          <w:szCs w:val="24"/>
        </w:rPr>
        <w:t xml:space="preserve">մեծությունների միավորներ կամ Հանձնաժողովի կողմից հաստատվող՝ Միության տեխնիկական </w:t>
      </w:r>
      <w:r w:rsidRPr="00C34B90">
        <w:rPr>
          <w:rFonts w:ascii="GHEA Grapalat" w:hAnsi="GHEA Grapalat"/>
          <w:sz w:val="24"/>
          <w:szCs w:val="24"/>
        </w:rPr>
        <w:lastRenderedPageBreak/>
        <w:t>կանոնակարգերի մշակման ժամանակ կիրառվող՝ մեծությունների արտահամակարգային միավորների ցանկին համապատասխան մեծությունների միավորներ՝ ներառյալ դրանց հարաբերակցությունը Միավորների միջազգային համակարգի (ՄՀ) հետ:</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Միության տեխնիկական կանոնակարգի «Տեխնիկական կանոնակարգման օբյեկտներին ներկայացվող պահանջներ» բաժնում շահագործման գործընթացին ներկայացվող պահանջները սահմանելիս կարող են նա</w:t>
      </w:r>
      <w:r w:rsidR="00BA0F33">
        <w:rPr>
          <w:rFonts w:ascii="GHEA Grapalat" w:hAnsi="GHEA Grapalat"/>
          <w:sz w:val="24"/>
          <w:szCs w:val="24"/>
        </w:rPr>
        <w:t>և</w:t>
      </w:r>
      <w:r w:rsidRPr="00C34B90">
        <w:rPr>
          <w:rFonts w:ascii="GHEA Grapalat" w:hAnsi="GHEA Grapalat"/>
          <w:sz w:val="24"/>
          <w:szCs w:val="24"/>
        </w:rPr>
        <w:t xml:space="preserve"> ներառվել շահագործման փաստաթղթերի բովանդակությանը ներկայացվող պահանջներ:</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 xml:space="preserve">Միության տեխնիկական կանոնակարգի «Տեխնիկական կանոնակարգման օբյեկտներին ներկայացվող պահանջներ» բաժինը կարող է պարունակել ենթաբաժիններ, որտեղ սահմանվում են Միության տեխնիկական կանոնակարգի տեխնիկական կանոնակարգման առանձին օբյեկտներին ներկայացվող պահանջներ: </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Միության տեխնիկական կանոնակարգի տեխնիկական կանոնակարգման օբյեկտների նկատմամբ պահանջների զգալի ծավալի դեպքում թույլատրվում է դրանց ներկայացումը Միության տեխնիկական կանոնակարգի հավելվածներում:</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Միության տեխնիկական կանոնակարգի «Տեխնիկական կանոնակարգման օբյեկտներին ներկայացվող պահանջներ» բաժնում կարող են նա</w:t>
      </w:r>
      <w:r w:rsidR="00BA0F33">
        <w:rPr>
          <w:rFonts w:ascii="GHEA Grapalat" w:hAnsi="GHEA Grapalat"/>
          <w:sz w:val="24"/>
          <w:szCs w:val="24"/>
        </w:rPr>
        <w:t>և</w:t>
      </w:r>
      <w:r w:rsidRPr="00C34B90">
        <w:rPr>
          <w:rFonts w:ascii="GHEA Grapalat" w:hAnsi="GHEA Grapalat"/>
          <w:sz w:val="24"/>
          <w:szCs w:val="24"/>
        </w:rPr>
        <w:t xml:space="preserve"> նշվել Միության այն ընդունած տեխնիկական կանոնակարգերին հղումներ, որտեղ արդեն սահմանված են Միության տեխնիկական կանոնակարգի տեխնիկական կանոնակարգման օբյեկտներին ներկայացվող պահանջները:</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 xml:space="preserve">Միության տեխնիկական կանոնակարգի «Տեխնիկական կանոնակարգման օբյեկտներին ներկայացվող պահանջներ» բաժնում առաջարկվում է չօգտագործել, որտեղ դա հնարավոր է, հղումներ Միության անդամ պետությունների օրենսդրությանը: </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 xml:space="preserve">Միության տեխնիկական կանոնակարգը չպետք է պարունակի Միության տեխնիկական կանոնակարգի տեխնիկական կանոնակարգման օբյեկտ </w:t>
      </w:r>
      <w:r w:rsidRPr="00C34B90">
        <w:rPr>
          <w:rFonts w:ascii="GHEA Grapalat" w:hAnsi="GHEA Grapalat"/>
          <w:sz w:val="24"/>
          <w:szCs w:val="24"/>
        </w:rPr>
        <w:lastRenderedPageBreak/>
        <w:t xml:space="preserve">հանդիսացող արտադրանքի կոնստրուկցիային ներկայացվող պահանջներ՝ բացառությամբ այն դեպքերի, երբ այդ պահանջների սահմանումն անհրաժեշտ է մարդու կյանքի </w:t>
      </w:r>
      <w:r w:rsidR="00BA0F33">
        <w:rPr>
          <w:rFonts w:ascii="GHEA Grapalat" w:hAnsi="GHEA Grapalat"/>
          <w:sz w:val="24"/>
          <w:szCs w:val="24"/>
        </w:rPr>
        <w:t>և</w:t>
      </w:r>
      <w:r w:rsidRPr="00C34B90">
        <w:rPr>
          <w:rFonts w:ascii="GHEA Grapalat" w:hAnsi="GHEA Grapalat"/>
          <w:sz w:val="24"/>
          <w:szCs w:val="24"/>
        </w:rPr>
        <w:t xml:space="preserve"> (կամ) առողջության, գույքի, շրջակա միջավայրի, կենդանիների </w:t>
      </w:r>
      <w:r w:rsidR="00BA0F33">
        <w:rPr>
          <w:rFonts w:ascii="GHEA Grapalat" w:hAnsi="GHEA Grapalat"/>
          <w:sz w:val="24"/>
          <w:szCs w:val="24"/>
        </w:rPr>
        <w:t>և</w:t>
      </w:r>
      <w:r w:rsidRPr="00C34B90">
        <w:rPr>
          <w:rFonts w:ascii="GHEA Grapalat" w:hAnsi="GHEA Grapalat"/>
          <w:sz w:val="24"/>
          <w:szCs w:val="24"/>
        </w:rPr>
        <w:t xml:space="preserve"> բույսերի կյանքի </w:t>
      </w:r>
      <w:r w:rsidR="00BA0F33">
        <w:rPr>
          <w:rFonts w:ascii="GHEA Grapalat" w:hAnsi="GHEA Grapalat"/>
          <w:sz w:val="24"/>
          <w:szCs w:val="24"/>
        </w:rPr>
        <w:t>և</w:t>
      </w:r>
      <w:r w:rsidRPr="00C34B90">
        <w:rPr>
          <w:rFonts w:ascii="GHEA Grapalat" w:hAnsi="GHEA Grapalat"/>
          <w:sz w:val="24"/>
          <w:szCs w:val="24"/>
        </w:rPr>
        <w:t xml:space="preserve"> (կամ) առողջության, սպառողներին մոլորության մեջ գցող գործողությունների կանխարգելման համար, ինչպես նա</w:t>
      </w:r>
      <w:r w:rsidR="00BA0F33">
        <w:rPr>
          <w:rFonts w:ascii="GHEA Grapalat" w:hAnsi="GHEA Grapalat"/>
          <w:sz w:val="24"/>
          <w:szCs w:val="24"/>
        </w:rPr>
        <w:t>և</w:t>
      </w:r>
      <w:r w:rsidRPr="00C34B90">
        <w:rPr>
          <w:rFonts w:ascii="GHEA Grapalat" w:hAnsi="GHEA Grapalat"/>
          <w:sz w:val="24"/>
          <w:szCs w:val="24"/>
        </w:rPr>
        <w:t xml:space="preserve"> էներգետիկ արդյունավետության </w:t>
      </w:r>
      <w:r w:rsidR="00BA0F33">
        <w:rPr>
          <w:rFonts w:ascii="GHEA Grapalat" w:hAnsi="GHEA Grapalat"/>
          <w:sz w:val="24"/>
          <w:szCs w:val="24"/>
        </w:rPr>
        <w:t>և</w:t>
      </w:r>
      <w:r w:rsidRPr="00C34B90">
        <w:rPr>
          <w:rFonts w:ascii="GHEA Grapalat" w:hAnsi="GHEA Grapalat"/>
          <w:sz w:val="24"/>
          <w:szCs w:val="24"/>
        </w:rPr>
        <w:t xml:space="preserve"> ռեսուրսախնայողության ապահովման համար:</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 xml:space="preserve">Այն դեպքում, երբ Միության տեխնիկական կանոնակարգում տեխնիկական կանոնակարգման օբյեկտ հանդիսացող արտադրանքի կոնստրուկցիային ներկայացվող պահանջների սահմանումն անհրաժեշտ է մարդու կյանքի </w:t>
      </w:r>
      <w:r w:rsidR="00BA0F33">
        <w:rPr>
          <w:rFonts w:ascii="GHEA Grapalat" w:hAnsi="GHEA Grapalat"/>
          <w:sz w:val="24"/>
          <w:szCs w:val="24"/>
        </w:rPr>
        <w:t>և</w:t>
      </w:r>
      <w:r w:rsidRPr="00C34B90">
        <w:rPr>
          <w:rFonts w:ascii="GHEA Grapalat" w:hAnsi="GHEA Grapalat"/>
          <w:sz w:val="24"/>
          <w:szCs w:val="24"/>
        </w:rPr>
        <w:t xml:space="preserve"> (կամ) առողջության, գույքի, շրջակա միջավայրի, կենդանիների </w:t>
      </w:r>
      <w:r w:rsidR="00BA0F33">
        <w:rPr>
          <w:rFonts w:ascii="GHEA Grapalat" w:hAnsi="GHEA Grapalat"/>
          <w:sz w:val="24"/>
          <w:szCs w:val="24"/>
        </w:rPr>
        <w:t>և</w:t>
      </w:r>
      <w:r w:rsidRPr="00C34B90">
        <w:rPr>
          <w:rFonts w:ascii="GHEA Grapalat" w:hAnsi="GHEA Grapalat"/>
          <w:sz w:val="24"/>
          <w:szCs w:val="24"/>
        </w:rPr>
        <w:t xml:space="preserve"> բույսերի կյանքի </w:t>
      </w:r>
      <w:r w:rsidR="00BA0F33">
        <w:rPr>
          <w:rFonts w:ascii="GHEA Grapalat" w:hAnsi="GHEA Grapalat"/>
          <w:sz w:val="24"/>
          <w:szCs w:val="24"/>
        </w:rPr>
        <w:t>և</w:t>
      </w:r>
      <w:r w:rsidRPr="00C34B90">
        <w:rPr>
          <w:rFonts w:ascii="GHEA Grapalat" w:hAnsi="GHEA Grapalat"/>
          <w:sz w:val="24"/>
          <w:szCs w:val="24"/>
        </w:rPr>
        <w:t xml:space="preserve"> (կամ) առողջության, սպառողներին մոլորության մեջ գցող գործողությունների կանխարգելման համար, ինչպես նա</w:t>
      </w:r>
      <w:r w:rsidR="00BA0F33">
        <w:rPr>
          <w:rFonts w:ascii="GHEA Grapalat" w:hAnsi="GHEA Grapalat"/>
          <w:sz w:val="24"/>
          <w:szCs w:val="24"/>
        </w:rPr>
        <w:t>և</w:t>
      </w:r>
      <w:r w:rsidRPr="00C34B90">
        <w:rPr>
          <w:rFonts w:ascii="GHEA Grapalat" w:hAnsi="GHEA Grapalat"/>
          <w:sz w:val="24"/>
          <w:szCs w:val="24"/>
        </w:rPr>
        <w:t xml:space="preserve"> էներգետիկ արդյունավետության </w:t>
      </w:r>
      <w:r w:rsidR="00BA0F33">
        <w:rPr>
          <w:rFonts w:ascii="GHEA Grapalat" w:hAnsi="GHEA Grapalat"/>
          <w:sz w:val="24"/>
          <w:szCs w:val="24"/>
        </w:rPr>
        <w:t>և</w:t>
      </w:r>
      <w:r w:rsidRPr="00C34B90">
        <w:rPr>
          <w:rFonts w:ascii="GHEA Grapalat" w:hAnsi="GHEA Grapalat"/>
          <w:sz w:val="24"/>
          <w:szCs w:val="24"/>
        </w:rPr>
        <w:t xml:space="preserve"> ռեսուրսախնայողության ապահովման համար,</w:t>
      </w:r>
      <w:r w:rsidR="00C34B90">
        <w:rPr>
          <w:rFonts w:ascii="GHEA Grapalat" w:hAnsi="GHEA Grapalat"/>
          <w:sz w:val="24"/>
          <w:szCs w:val="24"/>
        </w:rPr>
        <w:t xml:space="preserve"> </w:t>
      </w:r>
      <w:r w:rsidRPr="00C34B90">
        <w:rPr>
          <w:rFonts w:ascii="GHEA Grapalat" w:hAnsi="GHEA Grapalat"/>
          <w:sz w:val="24"/>
          <w:szCs w:val="24"/>
        </w:rPr>
        <w:t>«Տեխնիկական կանոնակարգման օբյեկտներին ներկայացվող պահանջներ» բաժնում թույլատրվում է ուղղակիորեն ներկայացնել այդպիսի պահանջներ:</w:t>
      </w:r>
      <w:r w:rsidR="00C34B90">
        <w:rPr>
          <w:rFonts w:ascii="GHEA Grapalat" w:hAnsi="GHEA Grapalat"/>
          <w:sz w:val="24"/>
          <w:szCs w:val="24"/>
        </w:rPr>
        <w:t xml:space="preserve"> </w:t>
      </w:r>
    </w:p>
    <w:p w:rsidR="00B552B6" w:rsidRPr="00C34B90" w:rsidRDefault="00C34B90"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Pr>
          <w:rFonts w:ascii="GHEA Grapalat" w:hAnsi="GHEA Grapalat"/>
          <w:sz w:val="24"/>
          <w:szCs w:val="24"/>
        </w:rPr>
        <w:t>11.</w:t>
      </w:r>
      <w:r w:rsidRPr="00C34B90">
        <w:rPr>
          <w:rFonts w:ascii="GHEA Grapalat" w:hAnsi="GHEA Grapalat"/>
          <w:sz w:val="24"/>
          <w:szCs w:val="24"/>
        </w:rPr>
        <w:tab/>
      </w:r>
      <w:r w:rsidR="00CD59AA" w:rsidRPr="00C34B90">
        <w:rPr>
          <w:rFonts w:ascii="GHEA Grapalat" w:hAnsi="GHEA Grapalat"/>
          <w:sz w:val="24"/>
          <w:szCs w:val="24"/>
        </w:rPr>
        <w:t xml:space="preserve">Միության տեխնիկական կանոնակարգի «Տեխնիկական կանոնակարգման օբյեկտների համապատասխանության ապահովումը Եվրասիական տնտեսական միության տեխնիկական կանոնակարգի պահանջներին» բաժնում նպատակահարմար է սահմանել Միության տեխնիկական կանոնակարգի պահանջներին տեխնիկական կանոնակարգման օբյեկտների համապատասխանության ապահովման պայմանները, այդ թվում՝ դրույթներ այն մասին, որ համապատասխանության ապահովումը կարող է իրականացվել հիմնավորված դեպքերում՝ միջազգային </w:t>
      </w:r>
      <w:r w:rsidR="00BA0F33">
        <w:rPr>
          <w:rFonts w:ascii="GHEA Grapalat" w:hAnsi="GHEA Grapalat"/>
          <w:sz w:val="24"/>
          <w:szCs w:val="24"/>
        </w:rPr>
        <w:t>և</w:t>
      </w:r>
      <w:r w:rsidR="00CD59AA" w:rsidRPr="00C34B90">
        <w:rPr>
          <w:rFonts w:ascii="GHEA Grapalat" w:hAnsi="GHEA Grapalat"/>
          <w:sz w:val="24"/>
          <w:szCs w:val="24"/>
        </w:rPr>
        <w:t xml:space="preserve"> տարածաշրջանային (միջպետական) ստանդարտների ցանկում ընդգրկված</w:t>
      </w:r>
      <w:r>
        <w:rPr>
          <w:rFonts w:ascii="GHEA Grapalat" w:hAnsi="GHEA Grapalat"/>
          <w:sz w:val="24"/>
          <w:szCs w:val="24"/>
        </w:rPr>
        <w:t xml:space="preserve"> </w:t>
      </w:r>
      <w:r w:rsidR="00CD59AA" w:rsidRPr="00C34B90">
        <w:rPr>
          <w:rFonts w:ascii="GHEA Grapalat" w:hAnsi="GHEA Grapalat"/>
          <w:sz w:val="24"/>
          <w:szCs w:val="24"/>
        </w:rPr>
        <w:t xml:space="preserve">ստանդարտների կամավոր հիմունքով կիրառման միջոցով, իսկ դրանց բացակայության դեպքում՝ ազգային (պետական) ստանդարտների միջոցով, որոնց կամավոր հիմունքով կիրառման արդյունքում ապահովվում է Միության տեխնիկական կանոնակարգի պահանջների պահպանումը, կամ այլ եղանակով՝ հաշվի առնելով տեխնիկական </w:t>
      </w:r>
      <w:r w:rsidR="00CD59AA" w:rsidRPr="00C34B90">
        <w:rPr>
          <w:rFonts w:ascii="GHEA Grapalat" w:hAnsi="GHEA Grapalat"/>
          <w:sz w:val="24"/>
          <w:szCs w:val="24"/>
        </w:rPr>
        <w:lastRenderedPageBreak/>
        <w:t>կանոնակարգման օբյեկտների առանձնահատկությունները:</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Միության տեխնիկական կանոնակարգի «Տեխնիկական կանոնակարգման օբյեկտների համապատասխանության ապահովումը Եվրասիական տնտեսական միության տեխնիկական կանոնակարգի պահանջներին» բաժնում կարող է նա</w:t>
      </w:r>
      <w:r w:rsidR="00BA0F33">
        <w:rPr>
          <w:rFonts w:ascii="GHEA Grapalat" w:hAnsi="GHEA Grapalat"/>
          <w:sz w:val="24"/>
          <w:szCs w:val="24"/>
        </w:rPr>
        <w:t>և</w:t>
      </w:r>
      <w:r w:rsidRPr="00C34B90">
        <w:rPr>
          <w:rFonts w:ascii="GHEA Grapalat" w:hAnsi="GHEA Grapalat"/>
          <w:sz w:val="24"/>
          <w:szCs w:val="24"/>
        </w:rPr>
        <w:t xml:space="preserve"> նշվել, որ տեխնիկական կանոնակարգման օբյեկտների՝ Միության տեխնիկական կանոնակարգի պահանջներին համապատասխանությունը գնահատելիս անցկացվող հետազոտությունների (փորձարկումների) </w:t>
      </w:r>
      <w:r w:rsidR="00BA0F33">
        <w:rPr>
          <w:rFonts w:ascii="GHEA Grapalat" w:hAnsi="GHEA Grapalat"/>
          <w:sz w:val="24"/>
          <w:szCs w:val="24"/>
        </w:rPr>
        <w:t>և</w:t>
      </w:r>
      <w:r w:rsidRPr="00C34B90">
        <w:rPr>
          <w:rFonts w:ascii="GHEA Grapalat" w:hAnsi="GHEA Grapalat"/>
          <w:sz w:val="24"/>
          <w:szCs w:val="24"/>
        </w:rPr>
        <w:t xml:space="preserve"> չափումների մեթոդները սահմանվում են միջազգային ու տարածաշրջանային (միջպետական) ստանդարտների, իսկ դրանց բացակայության դեպքում՝ ազգային (պետական) ստանդարտների ցանկում ընդգրկված ստանդարտներում, որոնք պարունակում են հետազոտությունների (փորձարկումների) </w:t>
      </w:r>
      <w:r w:rsidR="00BA0F33">
        <w:rPr>
          <w:rFonts w:ascii="GHEA Grapalat" w:hAnsi="GHEA Grapalat"/>
          <w:sz w:val="24"/>
          <w:szCs w:val="24"/>
        </w:rPr>
        <w:t>և</w:t>
      </w:r>
      <w:r w:rsidRPr="00C34B90">
        <w:rPr>
          <w:rFonts w:ascii="GHEA Grapalat" w:hAnsi="GHEA Grapalat"/>
          <w:sz w:val="24"/>
          <w:szCs w:val="24"/>
        </w:rPr>
        <w:t xml:space="preserve"> չափումների կանոններն ու մեթոդները, այդ թվում՝ Միության տեխնիկական կանոնակարգի պահանջների կիրառման ու կատարման </w:t>
      </w:r>
      <w:r w:rsidR="00BA0F33">
        <w:rPr>
          <w:rFonts w:ascii="GHEA Grapalat" w:hAnsi="GHEA Grapalat"/>
          <w:sz w:val="24"/>
          <w:szCs w:val="24"/>
        </w:rPr>
        <w:t>և</w:t>
      </w:r>
      <w:r w:rsidRPr="00C34B90">
        <w:rPr>
          <w:rFonts w:ascii="GHEA Grapalat" w:hAnsi="GHEA Grapalat"/>
          <w:sz w:val="24"/>
          <w:szCs w:val="24"/>
        </w:rPr>
        <w:t xml:space="preserve"> տեխնիկական կանոնակարգման օբյեկտների համապատասխանության գնահատումն իրականացնելու համար անհրաժեշտ նմուշառման կանոնները:</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12.</w:t>
      </w:r>
      <w:r w:rsidR="00C34B90" w:rsidRPr="00C34B90">
        <w:rPr>
          <w:rFonts w:ascii="GHEA Grapalat" w:hAnsi="GHEA Grapalat"/>
          <w:sz w:val="24"/>
          <w:szCs w:val="24"/>
        </w:rPr>
        <w:tab/>
      </w:r>
      <w:r w:rsidRPr="00C34B90">
        <w:rPr>
          <w:rFonts w:ascii="GHEA Grapalat" w:hAnsi="GHEA Grapalat"/>
          <w:sz w:val="24"/>
          <w:szCs w:val="24"/>
        </w:rPr>
        <w:t>Միության տեխնիկական կանոնակարգի «Տեխնիկական կանոնակարգման օբյեկտների համապատասխանության գնահատում» բաժնում սահմանել.</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տեխնիկական կանոնակարգման օբյեկտների՝</w:t>
      </w:r>
      <w:r w:rsidR="00C34B90">
        <w:rPr>
          <w:rFonts w:ascii="GHEA Grapalat" w:hAnsi="GHEA Grapalat"/>
          <w:sz w:val="24"/>
          <w:szCs w:val="24"/>
        </w:rPr>
        <w:t xml:space="preserve"> </w:t>
      </w:r>
      <w:r w:rsidRPr="00C34B90">
        <w:rPr>
          <w:rFonts w:ascii="GHEA Grapalat" w:hAnsi="GHEA Grapalat"/>
          <w:sz w:val="24"/>
          <w:szCs w:val="24"/>
        </w:rPr>
        <w:t>Միության տեխնիկական կանոնակարգի պահանջներին համապատասխանության գնահատման ձ</w:t>
      </w:r>
      <w:r w:rsidR="00BA0F33">
        <w:rPr>
          <w:rFonts w:ascii="GHEA Grapalat" w:hAnsi="GHEA Grapalat"/>
          <w:sz w:val="24"/>
          <w:szCs w:val="24"/>
        </w:rPr>
        <w:t>և</w:t>
      </w:r>
      <w:r w:rsidRPr="00C34B90">
        <w:rPr>
          <w:rFonts w:ascii="GHEA Grapalat" w:hAnsi="GHEA Grapalat"/>
          <w:sz w:val="24"/>
          <w:szCs w:val="24"/>
        </w:rPr>
        <w:t xml:space="preserve">երը, սխեմաները </w:t>
      </w:r>
      <w:r w:rsidR="00BA0F33">
        <w:rPr>
          <w:rFonts w:ascii="GHEA Grapalat" w:hAnsi="GHEA Grapalat"/>
          <w:sz w:val="24"/>
          <w:szCs w:val="24"/>
        </w:rPr>
        <w:t>և</w:t>
      </w:r>
      <w:r w:rsidRPr="00C34B90">
        <w:rPr>
          <w:rFonts w:ascii="GHEA Grapalat" w:hAnsi="GHEA Grapalat"/>
          <w:sz w:val="24"/>
          <w:szCs w:val="24"/>
        </w:rPr>
        <w:t xml:space="preserve"> ընթացակարգերը,</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հայտատուների շրջանակը՝ տեխնիկական կանոնակարգման օբյեկտների՝ Միության տեխնիկական կանոնակարգի պահանջներին համապատասխանությունը գնահատելիս,</w:t>
      </w:r>
      <w:r w:rsidR="00C34B90">
        <w:rPr>
          <w:rFonts w:ascii="GHEA Grapalat" w:hAnsi="GHEA Grapalat"/>
          <w:sz w:val="24"/>
          <w:szCs w:val="24"/>
        </w:rPr>
        <w:t xml:space="preserve"> </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համապատասխանության գնահատում անցկացնելու ժամանակ հայտատուի կողմից կազմվող ապացուցողական նյութերի լրակազմը,</w:t>
      </w:r>
    </w:p>
    <w:p w:rsidR="00766910"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համապատասխանության գնահատման մասին</w:t>
      </w:r>
      <w:r w:rsidR="00C34B90">
        <w:rPr>
          <w:rFonts w:ascii="GHEA Grapalat" w:hAnsi="GHEA Grapalat"/>
          <w:sz w:val="24"/>
          <w:szCs w:val="24"/>
        </w:rPr>
        <w:t xml:space="preserve"> </w:t>
      </w:r>
      <w:r w:rsidRPr="00C34B90">
        <w:rPr>
          <w:rFonts w:ascii="GHEA Grapalat" w:hAnsi="GHEA Grapalat"/>
          <w:sz w:val="24"/>
          <w:szCs w:val="24"/>
        </w:rPr>
        <w:t xml:space="preserve">փաստաթղթերի </w:t>
      </w:r>
      <w:r w:rsidRPr="00C34B90">
        <w:rPr>
          <w:rFonts w:ascii="GHEA Grapalat" w:hAnsi="GHEA Grapalat"/>
          <w:sz w:val="24"/>
          <w:szCs w:val="24"/>
        </w:rPr>
        <w:lastRenderedPageBreak/>
        <w:t xml:space="preserve">գործողության ժամկետները, </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 xml:space="preserve">համապատասխանության գնահատման մասին փաստաթղթերի գրանցման </w:t>
      </w:r>
      <w:r w:rsidR="00BA0F33">
        <w:rPr>
          <w:rFonts w:ascii="GHEA Grapalat" w:hAnsi="GHEA Grapalat"/>
          <w:sz w:val="24"/>
          <w:szCs w:val="24"/>
        </w:rPr>
        <w:t>և</w:t>
      </w:r>
      <w:r w:rsidRPr="00C34B90">
        <w:rPr>
          <w:rFonts w:ascii="GHEA Grapalat" w:hAnsi="GHEA Grapalat"/>
          <w:sz w:val="24"/>
          <w:szCs w:val="24"/>
        </w:rPr>
        <w:t xml:space="preserve"> ձ</w:t>
      </w:r>
      <w:r w:rsidR="00BA0F33">
        <w:rPr>
          <w:rFonts w:ascii="GHEA Grapalat" w:hAnsi="GHEA Grapalat"/>
          <w:sz w:val="24"/>
          <w:szCs w:val="24"/>
        </w:rPr>
        <w:t>և</w:t>
      </w:r>
      <w:r w:rsidRPr="00C34B90">
        <w:rPr>
          <w:rFonts w:ascii="GHEA Grapalat" w:hAnsi="GHEA Grapalat"/>
          <w:sz w:val="24"/>
          <w:szCs w:val="24"/>
        </w:rPr>
        <w:t>ակերպման վերաբերյալ դրույթները՝ Եվրասիական տնտեսական հանձնաժողովի ակտերին համապատասխան (անհրաժեշտության դեպքում),</w:t>
      </w:r>
      <w:r w:rsidR="00C34B90">
        <w:rPr>
          <w:rFonts w:ascii="GHEA Grapalat" w:hAnsi="GHEA Grapalat"/>
          <w:sz w:val="24"/>
          <w:szCs w:val="24"/>
        </w:rPr>
        <w:t xml:space="preserve"> </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համապատասխանության գնահատման մասին փաստաթղթերի գործողությունը երկարաձգելու, կասեցնելու կամ դադարեցնելու ընթացակարգերն ու պայմանները (անհրաժեշտության դեպքում):</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Միության տեխնիկական կանոնակարգի «Տեխնիկական կանոնակարգման օբյեկտների համապատասխանության գնահատում» բաժնում համապատասխանության գնահատման ձ</w:t>
      </w:r>
      <w:r w:rsidR="00BA0F33">
        <w:rPr>
          <w:rFonts w:ascii="GHEA Grapalat" w:hAnsi="GHEA Grapalat"/>
          <w:sz w:val="24"/>
          <w:szCs w:val="24"/>
        </w:rPr>
        <w:t>և</w:t>
      </w:r>
      <w:r w:rsidRPr="00C34B90">
        <w:rPr>
          <w:rFonts w:ascii="GHEA Grapalat" w:hAnsi="GHEA Grapalat"/>
          <w:sz w:val="24"/>
          <w:szCs w:val="24"/>
        </w:rPr>
        <w:t xml:space="preserve">երը, սխեմաները </w:t>
      </w:r>
      <w:r w:rsidR="00BA0F33">
        <w:rPr>
          <w:rFonts w:ascii="GHEA Grapalat" w:hAnsi="GHEA Grapalat"/>
          <w:sz w:val="24"/>
          <w:szCs w:val="24"/>
        </w:rPr>
        <w:t>և</w:t>
      </w:r>
      <w:r w:rsidRPr="00C34B90">
        <w:rPr>
          <w:rFonts w:ascii="GHEA Grapalat" w:hAnsi="GHEA Grapalat"/>
          <w:sz w:val="24"/>
          <w:szCs w:val="24"/>
        </w:rPr>
        <w:t xml:space="preserve"> ընթացակարգերը սահմանվում են «Եվրասիական տնտեսական միության շրջանակներում տեխնիկական կանոնակարգման մասին» արձանագրության 5-րդ կետին համապատասխան (պայմանագրի թիվ 9 հավելված)՝ Եվրասիական տնտեսական հանձնաժողովի կողմից հաստատվող համապատասխանության գնահատման տիպային սխեմաների հիման վրա:</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Համապատասխանության գնահատման ձ</w:t>
      </w:r>
      <w:r w:rsidR="00BA0F33">
        <w:rPr>
          <w:rFonts w:ascii="GHEA Grapalat" w:hAnsi="GHEA Grapalat"/>
          <w:sz w:val="24"/>
          <w:szCs w:val="24"/>
        </w:rPr>
        <w:t>և</w:t>
      </w:r>
      <w:r w:rsidRPr="00C34B90">
        <w:rPr>
          <w:rFonts w:ascii="GHEA Grapalat" w:hAnsi="GHEA Grapalat"/>
          <w:sz w:val="24"/>
          <w:szCs w:val="24"/>
        </w:rPr>
        <w:t>երի ու սխեմաների ընտրությունն իրականացվում է՝ հաշվի առնելով վտանգավոր գործոնները</w:t>
      </w:r>
      <w:r w:rsidR="00BB1351" w:rsidRPr="00C34B90">
        <w:rPr>
          <w:rFonts w:ascii="GHEA Grapalat" w:hAnsi="GHEA Grapalat"/>
          <w:sz w:val="24"/>
          <w:szCs w:val="24"/>
        </w:rPr>
        <w:t>,</w:t>
      </w:r>
      <w:r w:rsidRPr="00C34B90">
        <w:rPr>
          <w:rFonts w:ascii="GHEA Grapalat" w:hAnsi="GHEA Grapalat"/>
          <w:sz w:val="24"/>
          <w:szCs w:val="24"/>
        </w:rPr>
        <w:t xml:space="preserve"> </w:t>
      </w:r>
      <w:r w:rsidR="00BA0F33">
        <w:rPr>
          <w:rFonts w:ascii="GHEA Grapalat" w:hAnsi="GHEA Grapalat"/>
          <w:sz w:val="24"/>
          <w:szCs w:val="24"/>
        </w:rPr>
        <w:t>և</w:t>
      </w:r>
      <w:r w:rsidRPr="00C34B90">
        <w:rPr>
          <w:rFonts w:ascii="GHEA Grapalat" w:hAnsi="GHEA Grapalat"/>
          <w:sz w:val="24"/>
          <w:szCs w:val="24"/>
        </w:rPr>
        <w:t xml:space="preserve"> Միության տեխնիկական կանոնակարգի տեխնիկական կանոնակարգման օբյեկտների համար բնորոշ ռիսկերի վերլուծության հիման վրա:</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Այն դեպքում, երբ Միության տեխնիկական կանոնակարգի տեխնիկական կանոնակարգման օբյեկտների առնչությամբ նախկինում ընդունված Միության տեխնիկական կանոնակարգերում արդեն սահմանված են համապատասխանության գնահատման ձ</w:t>
      </w:r>
      <w:r w:rsidR="00BA0F33">
        <w:rPr>
          <w:rFonts w:ascii="GHEA Grapalat" w:hAnsi="GHEA Grapalat"/>
          <w:sz w:val="24"/>
          <w:szCs w:val="24"/>
        </w:rPr>
        <w:t>և</w:t>
      </w:r>
      <w:r w:rsidRPr="00C34B90">
        <w:rPr>
          <w:rFonts w:ascii="GHEA Grapalat" w:hAnsi="GHEA Grapalat"/>
          <w:sz w:val="24"/>
          <w:szCs w:val="24"/>
        </w:rPr>
        <w:t xml:space="preserve">երը, սխեմաները </w:t>
      </w:r>
      <w:r w:rsidR="00BA0F33">
        <w:rPr>
          <w:rFonts w:ascii="GHEA Grapalat" w:hAnsi="GHEA Grapalat"/>
          <w:sz w:val="24"/>
          <w:szCs w:val="24"/>
        </w:rPr>
        <w:t>և</w:t>
      </w:r>
      <w:r w:rsidRPr="00C34B90">
        <w:rPr>
          <w:rFonts w:ascii="GHEA Grapalat" w:hAnsi="GHEA Grapalat"/>
          <w:sz w:val="24"/>
          <w:szCs w:val="24"/>
        </w:rPr>
        <w:t xml:space="preserve"> ընթացակարգերը, Միության տեխնիկական կանոնակարգի «Տեխնիկական կանոնակարգման օբյեկտների համապատասխանության գնահատում» բաժնում նպատակարմար է սահմանել համապատասխանության գնահատման նույնանման ձ</w:t>
      </w:r>
      <w:r w:rsidR="00BA0F33">
        <w:rPr>
          <w:rFonts w:ascii="GHEA Grapalat" w:hAnsi="GHEA Grapalat"/>
          <w:sz w:val="24"/>
          <w:szCs w:val="24"/>
        </w:rPr>
        <w:t>և</w:t>
      </w:r>
      <w:r w:rsidRPr="00C34B90">
        <w:rPr>
          <w:rFonts w:ascii="GHEA Grapalat" w:hAnsi="GHEA Grapalat"/>
          <w:sz w:val="24"/>
          <w:szCs w:val="24"/>
        </w:rPr>
        <w:t xml:space="preserve">եր, սխեմաներ </w:t>
      </w:r>
      <w:r w:rsidR="00BA0F33">
        <w:rPr>
          <w:rFonts w:ascii="GHEA Grapalat" w:hAnsi="GHEA Grapalat"/>
          <w:sz w:val="24"/>
          <w:szCs w:val="24"/>
        </w:rPr>
        <w:t>և</w:t>
      </w:r>
      <w:r w:rsidRPr="00C34B90">
        <w:rPr>
          <w:rFonts w:ascii="GHEA Grapalat" w:hAnsi="GHEA Grapalat"/>
          <w:sz w:val="24"/>
          <w:szCs w:val="24"/>
        </w:rPr>
        <w:t xml:space="preserve"> ընթացակարգեր:</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lastRenderedPageBreak/>
        <w:t>13.</w:t>
      </w:r>
      <w:r w:rsidR="00C34B90" w:rsidRPr="00C34B90">
        <w:rPr>
          <w:rFonts w:ascii="GHEA Grapalat" w:hAnsi="GHEA Grapalat"/>
          <w:sz w:val="24"/>
          <w:szCs w:val="24"/>
        </w:rPr>
        <w:tab/>
      </w:r>
      <w:r w:rsidRPr="00C34B90">
        <w:rPr>
          <w:rFonts w:ascii="GHEA Grapalat" w:hAnsi="GHEA Grapalat"/>
          <w:sz w:val="24"/>
          <w:szCs w:val="24"/>
        </w:rPr>
        <w:t xml:space="preserve">Միության տեխնիկական կանոնակարգի «Եվրասիական տնտեսական միության շուկայում արտադրանքի շրջանառության միասնական նշանով մակնշում» բաժնում կարող են ներկայացվել Եվրասիական տնտեսական միության շուկայում արտադրանքի շրջանառության միասնական նշանի զետեղման կանոնները, պայմանները </w:t>
      </w:r>
      <w:r w:rsidR="00BA0F33">
        <w:rPr>
          <w:rFonts w:ascii="GHEA Grapalat" w:hAnsi="GHEA Grapalat"/>
          <w:sz w:val="24"/>
          <w:szCs w:val="24"/>
        </w:rPr>
        <w:t>և</w:t>
      </w:r>
      <w:r w:rsidRPr="00C34B90">
        <w:rPr>
          <w:rFonts w:ascii="GHEA Grapalat" w:hAnsi="GHEA Grapalat"/>
          <w:sz w:val="24"/>
          <w:szCs w:val="24"/>
        </w:rPr>
        <w:t xml:space="preserve"> եղանակը, ինչպես նա</w:t>
      </w:r>
      <w:r w:rsidR="00BA0F33">
        <w:rPr>
          <w:rFonts w:ascii="GHEA Grapalat" w:hAnsi="GHEA Grapalat"/>
          <w:sz w:val="24"/>
          <w:szCs w:val="24"/>
        </w:rPr>
        <w:t>և</w:t>
      </w:r>
      <w:r w:rsidRPr="00C34B90">
        <w:rPr>
          <w:rFonts w:ascii="GHEA Grapalat" w:hAnsi="GHEA Grapalat"/>
          <w:sz w:val="24"/>
          <w:szCs w:val="24"/>
        </w:rPr>
        <w:t xml:space="preserve"> կարող է նշվել Եվրասիական տնտեսական միության շուկայում արտադրանքի շրջանառության միասնական նշանով մակնշումն իրականացնելու փուլը:</w:t>
      </w:r>
      <w:r w:rsidR="00C34B90">
        <w:rPr>
          <w:rFonts w:ascii="GHEA Grapalat" w:hAnsi="GHEA Grapalat"/>
          <w:sz w:val="24"/>
          <w:szCs w:val="24"/>
        </w:rPr>
        <w:t xml:space="preserve"> </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Անհրաժեշտության դեպքում Միության տեխնիկական</w:t>
      </w:r>
      <w:r w:rsidR="00C34B90">
        <w:rPr>
          <w:rFonts w:ascii="GHEA Grapalat" w:hAnsi="GHEA Grapalat"/>
          <w:sz w:val="24"/>
          <w:szCs w:val="24"/>
        </w:rPr>
        <w:t xml:space="preserve"> </w:t>
      </w:r>
      <w:r w:rsidRPr="00C34B90">
        <w:rPr>
          <w:rFonts w:ascii="GHEA Grapalat" w:hAnsi="GHEA Grapalat"/>
          <w:sz w:val="24"/>
          <w:szCs w:val="24"/>
        </w:rPr>
        <w:t>կանոնակարգի «Եվրասիական տնտեսական միության շուկայում արտադրանքի շրջանառության միասնական նշանով մակնշում» բաժնում նա</w:t>
      </w:r>
      <w:r w:rsidR="00BA0F33">
        <w:rPr>
          <w:rFonts w:ascii="GHEA Grapalat" w:hAnsi="GHEA Grapalat"/>
          <w:sz w:val="24"/>
          <w:szCs w:val="24"/>
        </w:rPr>
        <w:t>և</w:t>
      </w:r>
      <w:r w:rsidRPr="00C34B90">
        <w:rPr>
          <w:rFonts w:ascii="GHEA Grapalat" w:hAnsi="GHEA Grapalat"/>
          <w:sz w:val="24"/>
          <w:szCs w:val="24"/>
        </w:rPr>
        <w:t xml:space="preserve"> նշվում է, որ Միության տեխնիկական</w:t>
      </w:r>
      <w:r w:rsidR="00C34B90">
        <w:rPr>
          <w:rFonts w:ascii="GHEA Grapalat" w:hAnsi="GHEA Grapalat"/>
          <w:sz w:val="24"/>
          <w:szCs w:val="24"/>
        </w:rPr>
        <w:t xml:space="preserve"> </w:t>
      </w:r>
      <w:r w:rsidRPr="00C34B90">
        <w:rPr>
          <w:rFonts w:ascii="GHEA Grapalat" w:hAnsi="GHEA Grapalat"/>
          <w:sz w:val="24"/>
          <w:szCs w:val="24"/>
        </w:rPr>
        <w:t>կանոնակարգի տեխնիկական կանոնակարգման օբյեկտ հանիսացող արտադրանքի մակնշումը Եվրասիական տնտեսական միության շուկայում արտադրանքի շրջանառության միասնական նշանով վկայում է դրա համապատասխանության մասին Միության բոլոր այն տեխնիկական կանոնակարգերին, որոնց գործողությունը տարածվում է դրա վրա:</w:t>
      </w:r>
    </w:p>
    <w:p w:rsidR="00B552B6" w:rsidRPr="00C34B90" w:rsidRDefault="00C34B90"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Pr>
          <w:rFonts w:ascii="GHEA Grapalat" w:hAnsi="GHEA Grapalat"/>
          <w:sz w:val="24"/>
          <w:szCs w:val="24"/>
        </w:rPr>
        <w:t>14.</w:t>
      </w:r>
      <w:r w:rsidRPr="00C34B90">
        <w:rPr>
          <w:rFonts w:ascii="GHEA Grapalat" w:hAnsi="GHEA Grapalat"/>
          <w:sz w:val="24"/>
          <w:szCs w:val="24"/>
        </w:rPr>
        <w:tab/>
      </w:r>
      <w:r w:rsidR="00CD59AA" w:rsidRPr="00C34B90">
        <w:rPr>
          <w:rFonts w:ascii="GHEA Grapalat" w:hAnsi="GHEA Grapalat"/>
          <w:sz w:val="24"/>
          <w:szCs w:val="24"/>
        </w:rPr>
        <w:t>Միության տեխնիկական</w:t>
      </w:r>
      <w:r>
        <w:rPr>
          <w:rFonts w:ascii="GHEA Grapalat" w:hAnsi="GHEA Grapalat"/>
          <w:sz w:val="24"/>
          <w:szCs w:val="24"/>
        </w:rPr>
        <w:t xml:space="preserve"> </w:t>
      </w:r>
      <w:r w:rsidR="00CD59AA" w:rsidRPr="00C34B90">
        <w:rPr>
          <w:rFonts w:ascii="GHEA Grapalat" w:hAnsi="GHEA Grapalat"/>
          <w:sz w:val="24"/>
          <w:szCs w:val="24"/>
        </w:rPr>
        <w:t xml:space="preserve">կանոնակարգի «Եվրասիական տնտեսական միության տեխնիկական կանոնակարգը գործողության մեջ դնելու կարգը </w:t>
      </w:r>
      <w:r w:rsidR="00BA0F33">
        <w:rPr>
          <w:rFonts w:ascii="GHEA Grapalat" w:hAnsi="GHEA Grapalat"/>
          <w:sz w:val="24"/>
          <w:szCs w:val="24"/>
        </w:rPr>
        <w:t>և</w:t>
      </w:r>
      <w:r w:rsidR="00CD59AA" w:rsidRPr="00C34B90">
        <w:rPr>
          <w:rFonts w:ascii="GHEA Grapalat" w:hAnsi="GHEA Grapalat"/>
          <w:sz w:val="24"/>
          <w:szCs w:val="24"/>
        </w:rPr>
        <w:t xml:space="preserve"> անցումային դրույթները» բաժնում որոշվում են Միության տեխնիկական</w:t>
      </w:r>
      <w:r>
        <w:rPr>
          <w:rFonts w:ascii="GHEA Grapalat" w:hAnsi="GHEA Grapalat"/>
          <w:sz w:val="24"/>
          <w:szCs w:val="24"/>
        </w:rPr>
        <w:t xml:space="preserve"> </w:t>
      </w:r>
      <w:r w:rsidR="00CD59AA" w:rsidRPr="00C34B90">
        <w:rPr>
          <w:rFonts w:ascii="GHEA Grapalat" w:hAnsi="GHEA Grapalat"/>
          <w:sz w:val="24"/>
          <w:szCs w:val="24"/>
        </w:rPr>
        <w:t xml:space="preserve">կանոնակարգի պահանջները գործողության մեջ դնելու կարգը </w:t>
      </w:r>
      <w:r w:rsidR="00BA0F33">
        <w:rPr>
          <w:rFonts w:ascii="GHEA Grapalat" w:hAnsi="GHEA Grapalat"/>
          <w:sz w:val="24"/>
          <w:szCs w:val="24"/>
        </w:rPr>
        <w:t>և</w:t>
      </w:r>
      <w:r w:rsidR="00CD59AA" w:rsidRPr="00C34B90">
        <w:rPr>
          <w:rFonts w:ascii="GHEA Grapalat" w:hAnsi="GHEA Grapalat"/>
          <w:sz w:val="24"/>
          <w:szCs w:val="24"/>
        </w:rPr>
        <w:t xml:space="preserve"> անցումային դրույթները:</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Միության տեխնիկական</w:t>
      </w:r>
      <w:r w:rsidR="00C34B90">
        <w:rPr>
          <w:rFonts w:ascii="GHEA Grapalat" w:hAnsi="GHEA Grapalat"/>
          <w:sz w:val="24"/>
          <w:szCs w:val="24"/>
        </w:rPr>
        <w:t xml:space="preserve"> </w:t>
      </w:r>
      <w:r w:rsidRPr="00C34B90">
        <w:rPr>
          <w:rFonts w:ascii="GHEA Grapalat" w:hAnsi="GHEA Grapalat"/>
          <w:sz w:val="24"/>
          <w:szCs w:val="24"/>
        </w:rPr>
        <w:t xml:space="preserve">կանոնակարգի պահանջները գործողության մեջ դնելու կարգը </w:t>
      </w:r>
      <w:r w:rsidR="00BA0F33">
        <w:rPr>
          <w:rFonts w:ascii="GHEA Grapalat" w:hAnsi="GHEA Grapalat"/>
          <w:sz w:val="24"/>
          <w:szCs w:val="24"/>
        </w:rPr>
        <w:t>և</w:t>
      </w:r>
      <w:r w:rsidRPr="00C34B90">
        <w:rPr>
          <w:rFonts w:ascii="GHEA Grapalat" w:hAnsi="GHEA Grapalat"/>
          <w:sz w:val="24"/>
          <w:szCs w:val="24"/>
        </w:rPr>
        <w:t xml:space="preserve"> անցումային դրույթները, որոնք սահմանվում են նշված բաժնում, կարող են պարունակել</w:t>
      </w:r>
      <w:r w:rsidR="00BB1351" w:rsidRPr="00C34B90">
        <w:rPr>
          <w:rFonts w:ascii="GHEA Grapalat" w:hAnsi="GHEA Grapalat"/>
          <w:sz w:val="24"/>
          <w:szCs w:val="24"/>
        </w:rPr>
        <w:t>՝</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 xml:space="preserve">Միության տեխնիկական կանոնակարգի տեխնիկական կանոնակարգման օբյեկտ հանիսացող արտադրանքի առնչությամբ տրված կամ ընդունված՝ պարտադիր պահանջներին համապատասխանության գնահատման մասին փաստաթղթերի գործողության ժամկետները, որոնք սահմանված են Միության </w:t>
      </w:r>
      <w:r w:rsidRPr="00C34B90">
        <w:rPr>
          <w:rFonts w:ascii="GHEA Grapalat" w:hAnsi="GHEA Grapalat"/>
          <w:sz w:val="24"/>
          <w:szCs w:val="24"/>
        </w:rPr>
        <w:lastRenderedPageBreak/>
        <w:t>իրավունքի մաս կազմող ակտերով կամ Միության անդամ պետության օրենսդրությամբ մինչ Միության տեխնիկական կանոնակարգն ուժի մեջ մտնելու օրը,</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 xml:space="preserve">Միության տեխնիկական կանոնակարգի տեխնիկական կանոնակարգման օբյեկտ հանիսացող արտադրանքն արտադրելու </w:t>
      </w:r>
      <w:r w:rsidR="00BA0F33">
        <w:rPr>
          <w:rFonts w:ascii="GHEA Grapalat" w:hAnsi="GHEA Grapalat"/>
          <w:sz w:val="24"/>
          <w:szCs w:val="24"/>
        </w:rPr>
        <w:t>և</w:t>
      </w:r>
      <w:r w:rsidRPr="00C34B90">
        <w:rPr>
          <w:rFonts w:ascii="GHEA Grapalat" w:hAnsi="GHEA Grapalat"/>
          <w:sz w:val="24"/>
          <w:szCs w:val="24"/>
        </w:rPr>
        <w:t xml:space="preserve"> շրջանառության մեջ դնելու ժամկետներն ու պայմանները՝ Միության իրավունքի մաս կազմող ակտերով կամ Միության անդամ պետության օրենսդրությամբ նախկինում սահմանված պարտադիր պահանջներին համապատասխան,</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 xml:space="preserve">Միության տեխնիկական կանոնակարգի տեխնիկական կանոնակարգման օբյեկտ հանիսացող այն արտադրանքն արտադրելու </w:t>
      </w:r>
      <w:r w:rsidR="00BA0F33">
        <w:rPr>
          <w:rFonts w:ascii="GHEA Grapalat" w:hAnsi="GHEA Grapalat"/>
          <w:sz w:val="24"/>
          <w:szCs w:val="24"/>
        </w:rPr>
        <w:t>և</w:t>
      </w:r>
      <w:r w:rsidRPr="00C34B90">
        <w:rPr>
          <w:rFonts w:ascii="GHEA Grapalat" w:hAnsi="GHEA Grapalat"/>
          <w:sz w:val="24"/>
          <w:szCs w:val="24"/>
        </w:rPr>
        <w:t xml:space="preserve"> շրջանառության մեջ դնելու ժամկետներն ու պայմանները, որը մինչ</w:t>
      </w:r>
      <w:r w:rsidR="00BA0F33">
        <w:rPr>
          <w:rFonts w:ascii="GHEA Grapalat" w:hAnsi="GHEA Grapalat"/>
          <w:sz w:val="24"/>
          <w:szCs w:val="24"/>
        </w:rPr>
        <w:t>և</w:t>
      </w:r>
      <w:r w:rsidRPr="00C34B90">
        <w:rPr>
          <w:rFonts w:ascii="GHEA Grapalat" w:hAnsi="GHEA Grapalat"/>
          <w:sz w:val="24"/>
          <w:szCs w:val="24"/>
        </w:rPr>
        <w:t xml:space="preserve"> Միության տեխնիկական կանոնակարգն ուժի մեջ մտնելու օրը ենթակա չի եղել համապատասխանության պարտադիր գնահատման՝ Միության իրավունքի մաս կազմող ակտերի կամ Միության անդամ պետությունների օրենսդրության համաձայն,</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այլ դրույթներ:</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15.</w:t>
      </w:r>
      <w:r w:rsidR="00C34B90" w:rsidRPr="00C34B90">
        <w:rPr>
          <w:rFonts w:ascii="GHEA Grapalat" w:hAnsi="GHEA Grapalat"/>
          <w:sz w:val="24"/>
          <w:szCs w:val="24"/>
        </w:rPr>
        <w:tab/>
      </w:r>
      <w:r w:rsidRPr="00C34B90">
        <w:rPr>
          <w:rFonts w:ascii="GHEA Grapalat" w:hAnsi="GHEA Grapalat"/>
          <w:sz w:val="24"/>
          <w:szCs w:val="24"/>
        </w:rPr>
        <w:t>Զգալի ծավալի դեպքում Միության տեխնիկական կանոնակարգի հավելվածներում կարող են ներկայացվել</w:t>
      </w:r>
      <w:r w:rsidR="00BB1351" w:rsidRPr="00C34B90">
        <w:rPr>
          <w:rFonts w:ascii="GHEA Grapalat" w:hAnsi="GHEA Grapalat"/>
          <w:sz w:val="24"/>
          <w:szCs w:val="24"/>
        </w:rPr>
        <w:t>՝</w:t>
      </w:r>
      <w:r w:rsidRPr="00C34B90">
        <w:rPr>
          <w:rFonts w:ascii="GHEA Grapalat" w:hAnsi="GHEA Grapalat"/>
          <w:sz w:val="24"/>
          <w:szCs w:val="24"/>
        </w:rPr>
        <w:t xml:space="preserve"> </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տեխնիկական կանոնակարգման այն օբյեկտների ցանկը, որոնց վրա տարածվում է (չի տարածվում)</w:t>
      </w:r>
      <w:r w:rsidR="00C34B90">
        <w:rPr>
          <w:rFonts w:ascii="GHEA Grapalat" w:hAnsi="GHEA Grapalat"/>
          <w:sz w:val="24"/>
          <w:szCs w:val="24"/>
        </w:rPr>
        <w:t xml:space="preserve"> </w:t>
      </w:r>
      <w:r w:rsidRPr="00C34B90">
        <w:rPr>
          <w:rFonts w:ascii="GHEA Grapalat" w:hAnsi="GHEA Grapalat"/>
          <w:sz w:val="24"/>
          <w:szCs w:val="24"/>
        </w:rPr>
        <w:t>Միության տեխնիկական կանոնակարգի գործողությունը,</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Միության տեխնիկական կանոնակարգի տեխնիկական կանոնակարգման օբյեկտներին ներկայացվող պահանջները,</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Միության տեխնիկական կանոնակարգի տեխնիկական կանոնակարգման օբյեկտների համար բնորոշ վտանգավոր գործոնների ցանկը,</w:t>
      </w:r>
    </w:p>
    <w:p w:rsidR="00B552B6" w:rsidRPr="00C34B90" w:rsidRDefault="00CD59AA" w:rsidP="00C34B90">
      <w:pPr>
        <w:pStyle w:val="Bodytext20"/>
        <w:shd w:val="clear" w:color="auto" w:fill="auto"/>
        <w:tabs>
          <w:tab w:val="left" w:pos="993"/>
        </w:tabs>
        <w:spacing w:before="0" w:after="160" w:line="360" w:lineRule="auto"/>
        <w:ind w:right="-8" w:firstLine="567"/>
        <w:rPr>
          <w:rFonts w:ascii="GHEA Grapalat" w:hAnsi="GHEA Grapalat"/>
          <w:sz w:val="24"/>
          <w:szCs w:val="24"/>
        </w:rPr>
      </w:pPr>
      <w:r w:rsidRPr="00C34B90">
        <w:rPr>
          <w:rFonts w:ascii="GHEA Grapalat" w:hAnsi="GHEA Grapalat"/>
          <w:sz w:val="24"/>
          <w:szCs w:val="24"/>
        </w:rPr>
        <w:t>այլ դրույթներ:</w:t>
      </w:r>
    </w:p>
    <w:sectPr w:rsidR="00B552B6" w:rsidRPr="00C34B90" w:rsidSect="00D1438C">
      <w:headerReference w:type="first" r:id="rId8"/>
      <w:pgSz w:w="11900" w:h="16840" w:code="9"/>
      <w:pgMar w:top="1418" w:right="1418" w:bottom="1418" w:left="1418" w:header="350"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ECA" w:rsidRDefault="002C3ECA" w:rsidP="00B552B6">
      <w:r>
        <w:separator/>
      </w:r>
    </w:p>
  </w:endnote>
  <w:endnote w:type="continuationSeparator" w:id="0">
    <w:p w:rsidR="002C3ECA" w:rsidRDefault="002C3ECA" w:rsidP="00B5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ECA" w:rsidRDefault="002C3ECA"/>
  </w:footnote>
  <w:footnote w:type="continuationSeparator" w:id="0">
    <w:p w:rsidR="002C3ECA" w:rsidRDefault="002C3E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38C" w:rsidRDefault="00D143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34D92"/>
    <w:multiLevelType w:val="multilevel"/>
    <w:tmpl w:val="1B029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F923D30"/>
    <w:multiLevelType w:val="multilevel"/>
    <w:tmpl w:val="24A407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9C37D2B"/>
    <w:multiLevelType w:val="multilevel"/>
    <w:tmpl w:val="FA9E4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B552B6"/>
    <w:rsid w:val="000539B7"/>
    <w:rsid w:val="0008257B"/>
    <w:rsid w:val="000A7525"/>
    <w:rsid w:val="001055B5"/>
    <w:rsid w:val="001174C1"/>
    <w:rsid w:val="00161B23"/>
    <w:rsid w:val="0021346C"/>
    <w:rsid w:val="002356FC"/>
    <w:rsid w:val="002C3ECA"/>
    <w:rsid w:val="002C60FB"/>
    <w:rsid w:val="002E0AD9"/>
    <w:rsid w:val="002F72E0"/>
    <w:rsid w:val="003F2B9B"/>
    <w:rsid w:val="004368DB"/>
    <w:rsid w:val="004700F9"/>
    <w:rsid w:val="00510398"/>
    <w:rsid w:val="0055224D"/>
    <w:rsid w:val="00594EFA"/>
    <w:rsid w:val="00636C75"/>
    <w:rsid w:val="00663391"/>
    <w:rsid w:val="006649BA"/>
    <w:rsid w:val="006830B7"/>
    <w:rsid w:val="006B2A6B"/>
    <w:rsid w:val="006C1968"/>
    <w:rsid w:val="00766910"/>
    <w:rsid w:val="007772D2"/>
    <w:rsid w:val="007B6EDE"/>
    <w:rsid w:val="007F25AE"/>
    <w:rsid w:val="008029FD"/>
    <w:rsid w:val="0084100D"/>
    <w:rsid w:val="00964B9B"/>
    <w:rsid w:val="00976E8E"/>
    <w:rsid w:val="00994174"/>
    <w:rsid w:val="009C7EE2"/>
    <w:rsid w:val="009D381C"/>
    <w:rsid w:val="00A077AF"/>
    <w:rsid w:val="00A3321A"/>
    <w:rsid w:val="00A52C42"/>
    <w:rsid w:val="00A83012"/>
    <w:rsid w:val="00AA7831"/>
    <w:rsid w:val="00AD6314"/>
    <w:rsid w:val="00B26F38"/>
    <w:rsid w:val="00B552B6"/>
    <w:rsid w:val="00B57721"/>
    <w:rsid w:val="00BA0F33"/>
    <w:rsid w:val="00BB1351"/>
    <w:rsid w:val="00C34B90"/>
    <w:rsid w:val="00C37D8F"/>
    <w:rsid w:val="00CD2063"/>
    <w:rsid w:val="00CD59AA"/>
    <w:rsid w:val="00D1438C"/>
    <w:rsid w:val="00D513EF"/>
    <w:rsid w:val="00EB66E0"/>
    <w:rsid w:val="00EE178B"/>
    <w:rsid w:val="00F03386"/>
    <w:rsid w:val="00F20805"/>
    <w:rsid w:val="00FA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552B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552B6"/>
    <w:rPr>
      <w:color w:val="0066CC"/>
      <w:u w:val="single"/>
    </w:rPr>
  </w:style>
  <w:style w:type="character" w:customStyle="1" w:styleId="Heading2">
    <w:name w:val="Heading #2_"/>
    <w:basedOn w:val="DefaultParagraphFont"/>
    <w:link w:val="Heading20"/>
    <w:rsid w:val="00B552B6"/>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B552B6"/>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B552B6"/>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B552B6"/>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B552B6"/>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B552B6"/>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3">
    <w:name w:val="Body text (3)_"/>
    <w:basedOn w:val="DefaultParagraphFont"/>
    <w:link w:val="Bodytext30"/>
    <w:rsid w:val="00B552B6"/>
    <w:rPr>
      <w:rFonts w:ascii="Times New Roman" w:eastAsia="Times New Roman" w:hAnsi="Times New Roman" w:cs="Times New Roman"/>
      <w:b/>
      <w:bCs/>
      <w:i w:val="0"/>
      <w:iCs w:val="0"/>
      <w:smallCaps w:val="0"/>
      <w:strike w:val="0"/>
      <w:sz w:val="30"/>
      <w:szCs w:val="30"/>
      <w:u w:val="none"/>
    </w:rPr>
  </w:style>
  <w:style w:type="character" w:customStyle="1" w:styleId="Bodytext3SmallCaps">
    <w:name w:val="Body text (3) + Small Caps"/>
    <w:basedOn w:val="Bodytext3"/>
    <w:rsid w:val="00B552B6"/>
    <w:rPr>
      <w:rFonts w:ascii="Times New Roman" w:eastAsia="Times New Roman" w:hAnsi="Times New Roman" w:cs="Times New Roman"/>
      <w:b/>
      <w:bCs/>
      <w:i w:val="0"/>
      <w:iCs w:val="0"/>
      <w:smallCaps/>
      <w:strike w:val="0"/>
      <w:color w:val="000000"/>
      <w:spacing w:val="0"/>
      <w:w w:val="100"/>
      <w:position w:val="0"/>
      <w:sz w:val="30"/>
      <w:szCs w:val="30"/>
      <w:u w:val="none"/>
      <w:lang w:val="hy-AM" w:eastAsia="hy-AM" w:bidi="hy-AM"/>
    </w:rPr>
  </w:style>
  <w:style w:type="character" w:customStyle="1" w:styleId="Bodytext2Bold0">
    <w:name w:val="Body text (2) + Bold"/>
    <w:aliases w:val="Spacing 2 pt"/>
    <w:basedOn w:val="Bodytext2"/>
    <w:rsid w:val="00B552B6"/>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Heading2Spacing2pt">
    <w:name w:val="Heading #2 + Spacing 2 pt"/>
    <w:basedOn w:val="Heading2"/>
    <w:rsid w:val="00B552B6"/>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paragraph" w:customStyle="1" w:styleId="Heading20">
    <w:name w:val="Heading #2"/>
    <w:basedOn w:val="Normal"/>
    <w:link w:val="Heading2"/>
    <w:rsid w:val="00B552B6"/>
    <w:pPr>
      <w:shd w:val="clear" w:color="auto" w:fill="FFFFFF"/>
      <w:spacing w:after="120" w:line="0" w:lineRule="atLeast"/>
      <w:ind w:hanging="500"/>
      <w:jc w:val="center"/>
      <w:outlineLvl w:val="1"/>
    </w:pPr>
    <w:rPr>
      <w:rFonts w:ascii="Times New Roman" w:eastAsia="Times New Roman" w:hAnsi="Times New Roman" w:cs="Times New Roman"/>
      <w:b/>
      <w:bCs/>
      <w:sz w:val="30"/>
      <w:szCs w:val="30"/>
    </w:rPr>
  </w:style>
  <w:style w:type="paragraph" w:customStyle="1" w:styleId="Heading10">
    <w:name w:val="Heading #1"/>
    <w:basedOn w:val="Normal"/>
    <w:link w:val="Heading1"/>
    <w:rsid w:val="00B552B6"/>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B552B6"/>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B552B6"/>
    <w:pPr>
      <w:shd w:val="clear" w:color="auto" w:fill="FFFFFF"/>
      <w:spacing w:before="420" w:after="780" w:line="0" w:lineRule="atLeast"/>
      <w:ind w:hanging="880"/>
      <w:jc w:val="both"/>
    </w:pPr>
    <w:rPr>
      <w:rFonts w:ascii="Times New Roman" w:eastAsia="Times New Roman" w:hAnsi="Times New Roman" w:cs="Times New Roman"/>
      <w:sz w:val="30"/>
      <w:szCs w:val="30"/>
    </w:rPr>
  </w:style>
  <w:style w:type="paragraph" w:customStyle="1" w:styleId="Bodytext30">
    <w:name w:val="Body text (3)"/>
    <w:basedOn w:val="Normal"/>
    <w:link w:val="Bodytext3"/>
    <w:rsid w:val="00B552B6"/>
    <w:pPr>
      <w:shd w:val="clear" w:color="auto" w:fill="FFFFFF"/>
      <w:spacing w:before="780" w:after="780" w:line="342" w:lineRule="exact"/>
      <w:jc w:val="center"/>
    </w:pPr>
    <w:rPr>
      <w:rFonts w:ascii="Times New Roman" w:eastAsia="Times New Roman" w:hAnsi="Times New Roman" w:cs="Times New Roman"/>
      <w:b/>
      <w:bCs/>
      <w:sz w:val="30"/>
      <w:szCs w:val="30"/>
    </w:rPr>
  </w:style>
  <w:style w:type="paragraph" w:styleId="BalloonText">
    <w:name w:val="Balloon Text"/>
    <w:basedOn w:val="Normal"/>
    <w:link w:val="BalloonTextChar"/>
    <w:uiPriority w:val="99"/>
    <w:semiHidden/>
    <w:unhideWhenUsed/>
    <w:rsid w:val="00B26F38"/>
    <w:rPr>
      <w:rFonts w:ascii="Tahoma" w:hAnsi="Tahoma" w:cs="Tahoma"/>
      <w:sz w:val="16"/>
      <w:szCs w:val="16"/>
    </w:rPr>
  </w:style>
  <w:style w:type="character" w:customStyle="1" w:styleId="BalloonTextChar">
    <w:name w:val="Balloon Text Char"/>
    <w:basedOn w:val="DefaultParagraphFont"/>
    <w:link w:val="BalloonText"/>
    <w:uiPriority w:val="99"/>
    <w:semiHidden/>
    <w:rsid w:val="00B26F38"/>
    <w:rPr>
      <w:rFonts w:ascii="Tahoma" w:hAnsi="Tahoma" w:cs="Tahoma"/>
      <w:color w:val="000000"/>
      <w:sz w:val="16"/>
      <w:szCs w:val="16"/>
    </w:rPr>
  </w:style>
  <w:style w:type="character" w:styleId="CommentReference">
    <w:name w:val="annotation reference"/>
    <w:basedOn w:val="DefaultParagraphFont"/>
    <w:uiPriority w:val="99"/>
    <w:semiHidden/>
    <w:unhideWhenUsed/>
    <w:rsid w:val="00B26F38"/>
    <w:rPr>
      <w:sz w:val="16"/>
      <w:szCs w:val="16"/>
    </w:rPr>
  </w:style>
  <w:style w:type="paragraph" w:styleId="CommentText">
    <w:name w:val="annotation text"/>
    <w:basedOn w:val="Normal"/>
    <w:link w:val="CommentTextChar"/>
    <w:uiPriority w:val="99"/>
    <w:semiHidden/>
    <w:unhideWhenUsed/>
    <w:rsid w:val="00B26F38"/>
    <w:rPr>
      <w:sz w:val="20"/>
      <w:szCs w:val="20"/>
    </w:rPr>
  </w:style>
  <w:style w:type="character" w:customStyle="1" w:styleId="CommentTextChar">
    <w:name w:val="Comment Text Char"/>
    <w:basedOn w:val="DefaultParagraphFont"/>
    <w:link w:val="CommentText"/>
    <w:uiPriority w:val="99"/>
    <w:semiHidden/>
    <w:rsid w:val="00B26F38"/>
    <w:rPr>
      <w:color w:val="000000"/>
      <w:sz w:val="20"/>
      <w:szCs w:val="20"/>
    </w:rPr>
  </w:style>
  <w:style w:type="paragraph" w:styleId="CommentSubject">
    <w:name w:val="annotation subject"/>
    <w:basedOn w:val="CommentText"/>
    <w:next w:val="CommentText"/>
    <w:link w:val="CommentSubjectChar"/>
    <w:uiPriority w:val="99"/>
    <w:semiHidden/>
    <w:unhideWhenUsed/>
    <w:rsid w:val="00B26F38"/>
    <w:rPr>
      <w:b/>
      <w:bCs/>
    </w:rPr>
  </w:style>
  <w:style w:type="character" w:customStyle="1" w:styleId="CommentSubjectChar">
    <w:name w:val="Comment Subject Char"/>
    <w:basedOn w:val="CommentTextChar"/>
    <w:link w:val="CommentSubject"/>
    <w:uiPriority w:val="99"/>
    <w:semiHidden/>
    <w:rsid w:val="00B26F38"/>
    <w:rPr>
      <w:b/>
      <w:bCs/>
      <w:color w:val="000000"/>
      <w:sz w:val="20"/>
      <w:szCs w:val="20"/>
    </w:rPr>
  </w:style>
  <w:style w:type="paragraph" w:styleId="Header">
    <w:name w:val="header"/>
    <w:basedOn w:val="Normal"/>
    <w:link w:val="HeaderChar"/>
    <w:uiPriority w:val="99"/>
    <w:unhideWhenUsed/>
    <w:rsid w:val="00D1438C"/>
    <w:pPr>
      <w:tabs>
        <w:tab w:val="center" w:pos="4844"/>
        <w:tab w:val="right" w:pos="9689"/>
      </w:tabs>
    </w:pPr>
  </w:style>
  <w:style w:type="character" w:customStyle="1" w:styleId="HeaderChar">
    <w:name w:val="Header Char"/>
    <w:basedOn w:val="DefaultParagraphFont"/>
    <w:link w:val="Header"/>
    <w:uiPriority w:val="99"/>
    <w:rsid w:val="00D1438C"/>
    <w:rPr>
      <w:color w:val="000000"/>
    </w:rPr>
  </w:style>
  <w:style w:type="paragraph" w:styleId="Footer">
    <w:name w:val="footer"/>
    <w:basedOn w:val="Normal"/>
    <w:link w:val="FooterChar"/>
    <w:uiPriority w:val="99"/>
    <w:semiHidden/>
    <w:unhideWhenUsed/>
    <w:rsid w:val="00D1438C"/>
    <w:pPr>
      <w:tabs>
        <w:tab w:val="center" w:pos="4844"/>
        <w:tab w:val="right" w:pos="9689"/>
      </w:tabs>
    </w:pPr>
  </w:style>
  <w:style w:type="character" w:customStyle="1" w:styleId="FooterChar">
    <w:name w:val="Footer Char"/>
    <w:basedOn w:val="DefaultParagraphFont"/>
    <w:link w:val="Footer"/>
    <w:uiPriority w:val="99"/>
    <w:semiHidden/>
    <w:rsid w:val="00D1438C"/>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15</Pages>
  <Words>3316</Words>
  <Characters>18905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22</cp:revision>
  <dcterms:created xsi:type="dcterms:W3CDTF">2015-10-08T06:24:00Z</dcterms:created>
  <dcterms:modified xsi:type="dcterms:W3CDTF">2016-04-22T05:46:00Z</dcterms:modified>
</cp:coreProperties>
</file>