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27" w:rsidRPr="0024640C" w:rsidRDefault="002B6778" w:rsidP="00982DA1">
      <w:pPr>
        <w:pStyle w:val="Bodytext20"/>
        <w:shd w:val="clear" w:color="auto" w:fill="auto"/>
        <w:spacing w:after="120" w:line="240" w:lineRule="auto"/>
        <w:ind w:left="5670"/>
        <w:rPr>
          <w:sz w:val="24"/>
          <w:szCs w:val="24"/>
        </w:rPr>
      </w:pPr>
      <w:bookmarkStart w:id="0" w:name="_GoBack"/>
      <w:bookmarkEnd w:id="0"/>
      <w:r w:rsidRPr="0024640C">
        <w:rPr>
          <w:rStyle w:val="Bodytext2TimesNewRoman0"/>
          <w:rFonts w:ascii="Sylfaen" w:eastAsia="Sylfaen" w:hAnsi="Sylfaen"/>
          <w:sz w:val="24"/>
          <w:szCs w:val="24"/>
        </w:rPr>
        <w:t>Приложение № 1</w:t>
      </w:r>
    </w:p>
    <w:p w:rsidR="00203B27" w:rsidRPr="0024640C" w:rsidRDefault="002B6778" w:rsidP="00982DA1">
      <w:pPr>
        <w:pStyle w:val="Bodytext20"/>
        <w:shd w:val="clear" w:color="auto" w:fill="auto"/>
        <w:spacing w:after="120" w:line="240" w:lineRule="auto"/>
        <w:ind w:left="5670"/>
        <w:rPr>
          <w:sz w:val="24"/>
          <w:szCs w:val="24"/>
        </w:rPr>
      </w:pPr>
      <w:r w:rsidRPr="0024640C">
        <w:rPr>
          <w:rStyle w:val="Bodytext2TimesNewRoman0"/>
          <w:rFonts w:ascii="Sylfaen" w:eastAsia="Sylfaen" w:hAnsi="Sylfaen"/>
          <w:sz w:val="24"/>
          <w:szCs w:val="24"/>
        </w:rPr>
        <w:t>к решению 8/7 Объединенной коллегии таможенных служб государств - членов Таможенного союза</w:t>
      </w:r>
    </w:p>
    <w:p w:rsidR="00203B27" w:rsidRPr="0024640C" w:rsidRDefault="002B6778" w:rsidP="00982DA1">
      <w:pPr>
        <w:pStyle w:val="Bodytext60"/>
        <w:shd w:val="clear" w:color="auto" w:fill="auto"/>
        <w:spacing w:before="0" w:after="120" w:line="240" w:lineRule="auto"/>
        <w:ind w:left="60"/>
        <w:rPr>
          <w:sz w:val="24"/>
          <w:szCs w:val="24"/>
        </w:rPr>
      </w:pPr>
      <w:r w:rsidRPr="0024640C">
        <w:rPr>
          <w:rStyle w:val="Bodytext6TimesNewRoman"/>
          <w:rFonts w:ascii="Sylfaen" w:eastAsia="Sylfaen" w:hAnsi="Sylfaen"/>
          <w:b/>
          <w:bCs/>
          <w:sz w:val="24"/>
          <w:szCs w:val="24"/>
        </w:rPr>
        <w:t>Перечень типовых критериев отнесения товаров, внешнеэкономических</w:t>
      </w:r>
      <w:r w:rsidRPr="0024640C">
        <w:rPr>
          <w:rStyle w:val="Bodytext6TimesNewRoman"/>
          <w:rFonts w:ascii="Sylfaen" w:eastAsia="Sylfaen" w:hAnsi="Sylfaen"/>
          <w:b/>
          <w:bCs/>
          <w:sz w:val="24"/>
          <w:szCs w:val="24"/>
        </w:rPr>
        <w:br/>
        <w:t>операций и лиц к группам риска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8307"/>
      </w:tblGrid>
      <w:tr w:rsidR="00203B27" w:rsidRPr="0024640C" w:rsidTr="0024640C">
        <w:trPr>
          <w:jc w:val="center"/>
        </w:trPr>
        <w:tc>
          <w:tcPr>
            <w:tcW w:w="442" w:type="dxa"/>
            <w:tcBorders>
              <w:top w:val="single" w:sz="4" w:space="0" w:color="auto"/>
              <w:lef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left"/>
              <w:rPr>
                <w:sz w:val="24"/>
                <w:szCs w:val="24"/>
              </w:rPr>
            </w:pPr>
            <w:r w:rsidRPr="0024640C">
              <w:rPr>
                <w:rStyle w:val="Bodytext2TimesNewRoman1"/>
                <w:rFonts w:ascii="Sylfaen" w:eastAsia="Sylfaen" w:hAnsi="Sylfaen"/>
                <w:sz w:val="24"/>
                <w:szCs w:val="24"/>
              </w:rPr>
              <w:t>№ п/п</w:t>
            </w:r>
          </w:p>
        </w:tc>
        <w:tc>
          <w:tcPr>
            <w:tcW w:w="8307"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ind w:left="100" w:right="107"/>
              <w:jc w:val="center"/>
              <w:rPr>
                <w:sz w:val="24"/>
                <w:szCs w:val="24"/>
              </w:rPr>
            </w:pPr>
            <w:r w:rsidRPr="0024640C">
              <w:rPr>
                <w:rStyle w:val="Bodytext2TimesNewRoman1"/>
                <w:rFonts w:ascii="Sylfaen" w:eastAsia="Sylfaen" w:hAnsi="Sylfaen"/>
                <w:sz w:val="24"/>
                <w:szCs w:val="24"/>
              </w:rPr>
              <w:t>Наименование критерии</w:t>
            </w:r>
          </w:p>
        </w:tc>
      </w:tr>
      <w:tr w:rsidR="00203B27" w:rsidRPr="0024640C" w:rsidTr="0024640C">
        <w:trPr>
          <w:jc w:val="center"/>
        </w:trPr>
        <w:tc>
          <w:tcPr>
            <w:tcW w:w="8749"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jc w:val="center"/>
              <w:rPr>
                <w:b/>
                <w:sz w:val="24"/>
                <w:szCs w:val="24"/>
              </w:rPr>
            </w:pPr>
            <w:r w:rsidRPr="0024640C">
              <w:rPr>
                <w:rStyle w:val="Bodytext2TimesNewRoman1"/>
                <w:rFonts w:ascii="Sylfaen" w:eastAsia="Sylfaen" w:hAnsi="Sylfaen"/>
                <w:b/>
                <w:sz w:val="24"/>
                <w:szCs w:val="24"/>
              </w:rPr>
              <w:t>01-Участник ВЭД</w:t>
            </w:r>
          </w:p>
        </w:tc>
      </w:tr>
      <w:tr w:rsidR="00203B27" w:rsidRPr="0024640C" w:rsidTr="0024640C">
        <w:trPr>
          <w:jc w:val="center"/>
        </w:trPr>
        <w:tc>
          <w:tcPr>
            <w:tcW w:w="442" w:type="dxa"/>
            <w:tcBorders>
              <w:top w:val="single" w:sz="4" w:space="0" w:color="auto"/>
              <w:lef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1</w:t>
            </w:r>
          </w:p>
        </w:tc>
        <w:tc>
          <w:tcPr>
            <w:tcW w:w="830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Наличие информации о перевозчике, в отношении которого поступило сообщение о недоставлении товаров, находящихся под таможенным контролем</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2</w:t>
            </w:r>
          </w:p>
        </w:tc>
        <w:tc>
          <w:tcPr>
            <w:tcW w:w="830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Управление транспортным средством международной перевозки водителем, осуществляющим перевозку товаров под таможенным контролем, по которым из таможни назначения поступило сообщение о недоставлении товаров, находящихся под таможенным контролем</w:t>
            </w:r>
          </w:p>
        </w:tc>
      </w:tr>
      <w:tr w:rsidR="00203B27" w:rsidRPr="0024640C" w:rsidTr="0024640C">
        <w:trPr>
          <w:trHeight w:val="985"/>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3</w:t>
            </w:r>
          </w:p>
        </w:tc>
        <w:tc>
          <w:tcPr>
            <w:tcW w:w="830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Перевозка товаров получателю, в адрес которого ранее следовали товары, помещенные под таможенную процедуру таможенного транзита, и в отношении которых таможней назначения направлено сообщение об их недоставлении</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4</w:t>
            </w:r>
          </w:p>
        </w:tc>
        <w:tc>
          <w:tcPr>
            <w:tcW w:w="830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Лицом ранее использовалась для целей помещения товаров под таможенную процедуру таможенного транзита книжка МДП, числившаяся как украденная (утерянная) или оформленная позднее даты, по которой данная книжка МДП может быть предъявлена таможенному органу отправления</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5</w:t>
            </w:r>
          </w:p>
        </w:tc>
        <w:tc>
          <w:tcPr>
            <w:tcW w:w="8307"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Выявление фактов перемещения лицом под таможенной процедурой таможенного транзита через территорию государств - членов Таможенного союза в третьи страны товаров, имеющих признаки предназначенных для внутреннего потребления в государствах -членах Таможенного союза (наличие на товаре знаков сертификации государств - членов Таможенного союза, паспортов изделий, этикеток и маркировки на государственных языках государств - членов Таможенного союза)</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6</w:t>
            </w:r>
          </w:p>
        </w:tc>
        <w:tc>
          <w:tcPr>
            <w:tcW w:w="830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Имеются признаки перераспределения физических объемов декларирования товаров от одного субъекта ВЭД, в отношении которого ранее проводился таможенный контроль, в связи с чем он прекратил свою деятельность (в том числе в результате проведения в отношении него проверочных мероприятий), к другому субъекту ВЭД</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7</w:t>
            </w:r>
          </w:p>
        </w:tc>
        <w:tc>
          <w:tcPr>
            <w:tcW w:w="830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 xml:space="preserve">Лицо ранее привлекалось к административной и (или) уголовной </w:t>
            </w:r>
            <w:r w:rsidRPr="0024640C">
              <w:rPr>
                <w:rStyle w:val="Bodytext2TimesNewRoman1"/>
                <w:rFonts w:ascii="Sylfaen" w:eastAsia="Sylfaen" w:hAnsi="Sylfaen"/>
                <w:sz w:val="24"/>
                <w:szCs w:val="24"/>
              </w:rPr>
              <w:lastRenderedPageBreak/>
              <w:t>ответственности в связи с нарушением таможенного законодательства Таможенного союза и законодательства государств - членов Таможенного союза</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lastRenderedPageBreak/>
              <w:t>8</w:t>
            </w:r>
          </w:p>
        </w:tc>
        <w:tc>
          <w:tcPr>
            <w:tcW w:w="8307"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Уклонение участника ВЭД от применения форм таможенного контроля и иных мер по минимизации рисков, в том числе предусмотренных профилями рисков, путем отзыва декларации на товары (ДТ) с последующей подачей ДТ на ту же партию товаров</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9</w:t>
            </w:r>
          </w:p>
        </w:tc>
        <w:tc>
          <w:tcPr>
            <w:tcW w:w="8307"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Имеются признаки изменения объемов декларирования товаров при смене места декларирования товаров участником ВЭД в результате усиления таможенного контроля (возбуждения дел об АП, проведения КТС и т.п.)</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10</w:t>
            </w:r>
          </w:p>
        </w:tc>
        <w:tc>
          <w:tcPr>
            <w:tcW w:w="8307"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Участник ВЭД обращается в таможенные органы для целей совершения таможенных операций (таможенных процедур) в отношении товаров и транспортных средств международной перевозки преимущественно в выходные и (или) праздничные дни либо</w:t>
            </w:r>
          </w:p>
        </w:tc>
      </w:tr>
      <w:tr w:rsidR="00203B27" w:rsidRPr="0024640C" w:rsidTr="0024640C">
        <w:trPr>
          <w:jc w:val="center"/>
        </w:trPr>
        <w:tc>
          <w:tcPr>
            <w:tcW w:w="442"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11</w:t>
            </w:r>
          </w:p>
        </w:tc>
        <w:tc>
          <w:tcPr>
            <w:tcW w:w="8307"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В отношении товаров, перемещаемых участником ВЭД, в течение определенного периода времени не проводился таможенный досмотр в регионе деятельности таможенного органа</w:t>
            </w:r>
          </w:p>
        </w:tc>
      </w:tr>
      <w:tr w:rsidR="00203B27" w:rsidRPr="0024640C" w:rsidTr="0024640C">
        <w:trPr>
          <w:jc w:val="center"/>
        </w:trPr>
        <w:tc>
          <w:tcPr>
            <w:tcW w:w="442" w:type="dxa"/>
            <w:tcBorders>
              <w:top w:val="single" w:sz="4" w:space="0" w:color="auto"/>
              <w:left w:val="single" w:sz="4" w:space="0" w:color="auto"/>
              <w:bottom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ind w:left="180"/>
              <w:jc w:val="left"/>
              <w:rPr>
                <w:sz w:val="24"/>
                <w:szCs w:val="24"/>
              </w:rPr>
            </w:pPr>
            <w:r w:rsidRPr="0024640C">
              <w:rPr>
                <w:rStyle w:val="Bodytext2TimesNewRoman1"/>
                <w:rFonts w:ascii="Sylfaen" w:eastAsia="Sylfaen" w:hAnsi="Sylfaen"/>
                <w:sz w:val="24"/>
                <w:szCs w:val="24"/>
              </w:rPr>
              <w:t>12</w:t>
            </w:r>
          </w:p>
        </w:tc>
        <w:tc>
          <w:tcPr>
            <w:tcW w:w="8307" w:type="dxa"/>
            <w:tcBorders>
              <w:top w:val="single" w:sz="4" w:space="0" w:color="auto"/>
              <w:left w:val="single" w:sz="4" w:space="0" w:color="auto"/>
              <w:bottom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100" w:right="107"/>
              <w:rPr>
                <w:sz w:val="24"/>
                <w:szCs w:val="24"/>
              </w:rPr>
            </w:pPr>
            <w:r w:rsidRPr="0024640C">
              <w:rPr>
                <w:rStyle w:val="Bodytext2TimesNewRoman1"/>
                <w:rFonts w:ascii="Sylfaen" w:eastAsia="Sylfaen" w:hAnsi="Sylfaen"/>
                <w:sz w:val="24"/>
                <w:szCs w:val="24"/>
              </w:rPr>
              <w:t>Отказ участника ВЭД от предоставления технической документации на товар</w:t>
            </w:r>
          </w:p>
        </w:tc>
      </w:tr>
    </w:tbl>
    <w:p w:rsidR="00203B27" w:rsidRPr="0024640C" w:rsidRDefault="00203B27" w:rsidP="00982DA1">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8292"/>
      </w:tblGrid>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 п/п</w:t>
            </w:r>
          </w:p>
        </w:tc>
        <w:tc>
          <w:tcPr>
            <w:tcW w:w="8292"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ind w:left="61" w:right="131"/>
              <w:jc w:val="center"/>
              <w:rPr>
                <w:sz w:val="24"/>
                <w:szCs w:val="24"/>
              </w:rPr>
            </w:pPr>
            <w:r w:rsidRPr="0024640C">
              <w:rPr>
                <w:rStyle w:val="Bodytext2TimesNewRoman1"/>
                <w:rFonts w:ascii="Sylfaen" w:eastAsia="Sylfaen" w:hAnsi="Sylfaen"/>
                <w:sz w:val="24"/>
                <w:szCs w:val="24"/>
              </w:rPr>
              <w:t>Наименование критерия</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13</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Наличие задолженности по уплате таможенных платежей и пеней за просрочку уплаты таможенных платежей, административных штрафов за нарушение таможенного законодательства Таможенного союза и законодательства государств - членов Таможенного союза</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14</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Уставной капитал организации сформирован в минимальных размерах, предусмотренных законодательством государств-членов Таможенного союза, или объем внешнеэкономических операций (стоимость контрактов) значительно превышает размер уставного капитала организации (в 500 и более раз)</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15</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Реквизиты организации, указанные при совершении таможенных операций (таможенных процедур) в отношении товаров, не совпадают с реквизитами, содержащимися в базах данных юридических и физических лиц в соответствии с законодательством государств - членов Таможенного союза</w:t>
            </w:r>
          </w:p>
        </w:tc>
      </w:tr>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16</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Исполнительный орган участника ВЭД не располагается по адресу государственной регистрации</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17</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Участник ВЭД применяет упрощенную систему налогообложения</w:t>
            </w:r>
          </w:p>
        </w:tc>
      </w:tr>
      <w:tr w:rsidR="00203B27" w:rsidRPr="0024640C" w:rsidTr="0024640C">
        <w:trPr>
          <w:jc w:val="center"/>
        </w:trPr>
        <w:tc>
          <w:tcPr>
            <w:tcW w:w="504"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18</w:t>
            </w:r>
          </w:p>
        </w:tc>
        <w:tc>
          <w:tcPr>
            <w:tcW w:w="8292"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Наличие нарушений, выявленных в результате таможенного контроля после выпуска товаров</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19</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Организация в течение последнего финансового года не представляет отчеты (балансы) в территориальные налоговые органы либо представляет справки об отсутствии хозяйственной деятельности за отчетный период или так называемые «нулевые» отчеты (балансы), либо отражает в налоговой отчетности убытки на протяжении нескольких налоговых периодов</w:t>
            </w:r>
          </w:p>
        </w:tc>
      </w:tr>
      <w:tr w:rsidR="00203B27" w:rsidRPr="0024640C" w:rsidTr="0024640C">
        <w:trPr>
          <w:jc w:val="center"/>
        </w:trPr>
        <w:tc>
          <w:tcPr>
            <w:tcW w:w="504"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20</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Функции главного бухгалтера возложены на руководителя организации</w:t>
            </w:r>
          </w:p>
        </w:tc>
      </w:tr>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21</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Учредитель (один из учредителей организации) является учредителем одновременно двух и более организаций, осуществляющих ВЭД</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22</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Руководитель или главный бухгалтер работает по совместительству на аналогичных должностях значительного количества организаций (для руководителя - более 3, для главного бухгалтера - более 5)</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23</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При отсутствии договора с таможенными представителями в структуре юридического лица не имеется специального отдела, определенной группы штатных сотрудников или сотрудника, в должностные обязанности которых входит совершение таможенных операций (таможенных процедур)</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24</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Адрес государственной регистрации организации является местом регистрации большого количества (10 и более) организаций (за исключением офисных центров, бизнес центров)</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25</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Организация не является собственником помещений, в которых располагается ее исполнительный орган, при этом договор аренды заключен на срок до 1 года либо отсутствует зарегистрированный в установленном порядке договор аренды.</w:t>
            </w:r>
          </w:p>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Организация не является собственником используемых складских и производственных помещений, при этом отсутствует зарегистрированный в установленном порядке договор аренды</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26</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 xml:space="preserve">У лиц, подлежащих обязательному </w:t>
            </w:r>
            <w:r w:rsidRPr="0024640C">
              <w:rPr>
                <w:rStyle w:val="Bodytext2TimesNewRoman2"/>
                <w:rFonts w:ascii="Sylfaen" w:eastAsia="Sylfaen" w:hAnsi="Sylfaen"/>
                <w:sz w:val="24"/>
                <w:szCs w:val="24"/>
              </w:rPr>
              <w:t>аудиту</w:t>
            </w:r>
            <w:r w:rsidRPr="0024640C">
              <w:rPr>
                <w:rStyle w:val="Bodytext2TimesNewRoman1"/>
                <w:rFonts w:ascii="Sylfaen" w:eastAsia="Sylfaen" w:hAnsi="Sylfaen"/>
                <w:sz w:val="24"/>
                <w:szCs w:val="24"/>
              </w:rPr>
              <w:t>, аудиторская проверка не проводилась, либо аудиторское заключение по результатам проверки содержит выводы, отличные от безоговорочно положительных</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27</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Наличие задолженности по уплате налогов в бюджет в соответствии с законодательством государств - членов Таможенного союза</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28</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Участник ВЭД относится к категории лиц, перемещающих товары, таможенный контроль которых после выпуска невозможен по причине отсутствия по месту государственной регистрации, и (или) участник ВЭД уклоняется от проведения таможенного контроля после выпуска товаров путем непредставления (непредставления в полном объеме) запрашиваемых таможенным органом документов и (или) сведений</w:t>
            </w:r>
          </w:p>
        </w:tc>
      </w:tr>
      <w:tr w:rsidR="00203B27" w:rsidRPr="0024640C" w:rsidTr="0024640C">
        <w:trPr>
          <w:jc w:val="center"/>
        </w:trPr>
        <w:tc>
          <w:tcPr>
            <w:tcW w:w="504" w:type="dxa"/>
            <w:tcBorders>
              <w:top w:val="single" w:sz="4" w:space="0" w:color="auto"/>
              <w:left w:val="single" w:sz="4" w:space="0" w:color="auto"/>
              <w:bottom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29</w:t>
            </w:r>
          </w:p>
        </w:tc>
        <w:tc>
          <w:tcPr>
            <w:tcW w:w="8292" w:type="dxa"/>
            <w:tcBorders>
              <w:top w:val="single" w:sz="4" w:space="0" w:color="auto"/>
              <w:left w:val="single" w:sz="4" w:space="0" w:color="auto"/>
              <w:bottom w:val="single" w:sz="4" w:space="0" w:color="auto"/>
              <w:right w:val="single" w:sz="4" w:space="0" w:color="auto"/>
            </w:tcBorders>
            <w:shd w:val="clear" w:color="auto" w:fill="FFFFFF"/>
          </w:tcPr>
          <w:p w:rsidR="00203B27" w:rsidRPr="0024640C" w:rsidRDefault="002B6778" w:rsidP="0024640C">
            <w:pPr>
              <w:pStyle w:val="Bodytext20"/>
              <w:shd w:val="clear" w:color="auto" w:fill="auto"/>
              <w:spacing w:after="120" w:line="240" w:lineRule="auto"/>
              <w:ind w:left="61" w:right="131"/>
              <w:rPr>
                <w:sz w:val="24"/>
                <w:szCs w:val="24"/>
              </w:rPr>
            </w:pPr>
            <w:r w:rsidRPr="0024640C">
              <w:rPr>
                <w:rStyle w:val="Bodytext2TimesNewRoman1"/>
                <w:rFonts w:ascii="Sylfaen" w:eastAsia="Sylfaen" w:hAnsi="Sylfaen"/>
                <w:sz w:val="24"/>
                <w:szCs w:val="24"/>
              </w:rPr>
              <w:t>Срок осуществления внешнеэкономической деятельности участником ВЭД в государстве - члене Таможенного союза не превышает определенного периода времени</w:t>
            </w:r>
          </w:p>
        </w:tc>
      </w:tr>
    </w:tbl>
    <w:p w:rsidR="00203B27" w:rsidRPr="0024640C" w:rsidRDefault="00203B27" w:rsidP="00982DA1">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5"/>
        <w:gridCol w:w="8296"/>
      </w:tblGrid>
      <w:tr w:rsidR="00203B27" w:rsidRPr="0024640C" w:rsidTr="0024640C">
        <w:trPr>
          <w:jc w:val="center"/>
        </w:trPr>
        <w:tc>
          <w:tcPr>
            <w:tcW w:w="485"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 п/п</w:t>
            </w:r>
          </w:p>
        </w:tc>
        <w:tc>
          <w:tcPr>
            <w:tcW w:w="8296"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Наименование критерия</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30</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 ВЭД впервые обращается в таможенные органы государства - члена Таможенного союза для совершения таможенных операций (таможенных процедур) в отношении товаров и транспортных средств международной перевозки</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31</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Неоднократное снятие с учета и постановка на учет организации в налоговых органах в связи с изменением места нахождения организации («миграция» между налоговыми органами)</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32</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таможенном органе имеется информация об отказе участнику ВЭД в получении разрешительных документов на импорт или экспорт товаров, на которые распространяются запреты и ограничения</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33</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 ВЭД, в отношении которого имеется информация о возможных противоправных деяниях, направленных на нарушение запретов и ограничений и прав интеллектуальной собственности</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34</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 ВЭД не предоставляет информацию о назначении, области применения товара и его технических характеристиках</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35</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Участники ВЭД, в отношении которых имеется информация об отзыве таможенных деклараций на товары</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36</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Участники ВЭД, перемещающие товары, не являются держателями (получателями) оригиналов разрешительных документов</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37</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Участники ВЭД, перемещающие товары без договора с изготовителем об осуществлении от его имени действий, связанных с соблюдением ограничений, а также с ответственностью за соблюдением данных ограничений</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38</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Участники ВЭД - импортеры товаров, подлежащих подтверждению соблюдения ограничений, совершающие таможенные операции (таможенные процедуры) в отношении данных товаров в регионах, отличных от места государственной регистрации</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39</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 ВЭД ранее представлял для целей совершения таможенных операций (таможенных процедур) недействительные или поддельные разрешительные документы</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40</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 xml:space="preserve">Наличие информации о предоставлении участником ВЭД в уполномоченный банк в качестве подтверждающего документа копии ДТ, информация о </w:t>
            </w:r>
            <w:r w:rsidRPr="0024640C">
              <w:rPr>
                <w:rStyle w:val="Bodytext2TimesNewRoman1"/>
                <w:rFonts w:ascii="Sylfaen" w:eastAsia="Sylfaen" w:hAnsi="Sylfaen"/>
                <w:sz w:val="24"/>
                <w:szCs w:val="24"/>
              </w:rPr>
              <w:lastRenderedPageBreak/>
              <w:t>которой отсутствует в базах данных таможенных служб государств - членов Таможенного союза</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41</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Участник ВЭД не является лицензиатом или уполномоченным правообладателем на ввоз товаров, маркированных товарными знаками, включенными в таможенный реестр объектов интеллектуальной собственности</w:t>
            </w:r>
          </w:p>
        </w:tc>
      </w:tr>
      <w:tr w:rsidR="00203B27" w:rsidRPr="0024640C" w:rsidTr="0024640C">
        <w:trPr>
          <w:jc w:val="center"/>
        </w:trPr>
        <w:tc>
          <w:tcPr>
            <w:tcW w:w="8781"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02 - Документ</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42</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Отсутствие в транспортной накладной оригинальных оттисков штампов (печатей) отправителя и перевозчика</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43</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Наличие в транспортных и коммерческих документах подчисток и исправлений, не заверенных отправителем и/или перевозчиком</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44</w:t>
            </w:r>
          </w:p>
        </w:tc>
        <w:tc>
          <w:tcPr>
            <w:tcW w:w="8296"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представленных для таможенных целей документах содержатся неполные и (или) противоречивые сведения, а также сведения, вызывающие сомнения в их достоверности</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45</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представленных транспортных и товаросопроводительных документах отсутствуют оттиски печатей и штампов и/или отметки и подписи должностных лиц таможенных органов, расположенных в пунктах пропуска через таможенную границу Таможенного союза</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46</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Внесение изменений или замена товаросопроводительных или коммерческих документов, прибывших вместе с товаром</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47</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Предоставление недействительных или поддельных документов, подтверждающих полномочия лица, подающего ДТ</w:t>
            </w:r>
          </w:p>
        </w:tc>
      </w:tr>
      <w:tr w:rsidR="00203B27" w:rsidRPr="0024640C" w:rsidTr="0024640C">
        <w:trPr>
          <w:jc w:val="center"/>
        </w:trPr>
        <w:tc>
          <w:tcPr>
            <w:tcW w:w="485"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48</w:t>
            </w:r>
          </w:p>
        </w:tc>
        <w:tc>
          <w:tcPr>
            <w:tcW w:w="8296"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Подписи, имеющиеся в коммерческих документах, отличны от подписей одних и тех же лиц, содержащихся в иных документах</w:t>
            </w:r>
          </w:p>
        </w:tc>
      </w:tr>
      <w:tr w:rsidR="00203B27" w:rsidRPr="0024640C" w:rsidTr="0024640C">
        <w:trPr>
          <w:jc w:val="center"/>
        </w:trPr>
        <w:tc>
          <w:tcPr>
            <w:tcW w:w="485" w:type="dxa"/>
            <w:tcBorders>
              <w:top w:val="single" w:sz="4" w:space="0" w:color="auto"/>
              <w:left w:val="single" w:sz="4" w:space="0" w:color="auto"/>
              <w:bottom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49</w:t>
            </w:r>
          </w:p>
        </w:tc>
        <w:tc>
          <w:tcPr>
            <w:tcW w:w="8296" w:type="dxa"/>
            <w:tcBorders>
              <w:top w:val="single" w:sz="4" w:space="0" w:color="auto"/>
              <w:left w:val="single" w:sz="4" w:space="0" w:color="auto"/>
              <w:bottom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Коммерческие документы (инвойсы, счета-фактуры и т.п.) подписаны лицом, не являющимся продавцом товара</w:t>
            </w:r>
          </w:p>
        </w:tc>
      </w:tr>
    </w:tbl>
    <w:p w:rsidR="00203B27" w:rsidRPr="0024640C" w:rsidRDefault="00203B27" w:rsidP="00982DA1">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8292"/>
      </w:tblGrid>
      <w:tr w:rsidR="00203B27" w:rsidRPr="0024640C" w:rsidTr="0024640C">
        <w:trPr>
          <w:jc w:val="center"/>
        </w:trPr>
        <w:tc>
          <w:tcPr>
            <w:tcW w:w="509"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 п/п</w:t>
            </w:r>
          </w:p>
        </w:tc>
        <w:tc>
          <w:tcPr>
            <w:tcW w:w="8292"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Наименование критерия</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50</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Отсутствие в товаросопроводительных и товаротранспортных документах конкретного описания товаров либо наличие неоднозначного описания товаров</w:t>
            </w:r>
          </w:p>
        </w:tc>
      </w:tr>
      <w:tr w:rsidR="00203B27" w:rsidRPr="0024640C" w:rsidTr="0024640C">
        <w:trPr>
          <w:jc w:val="center"/>
        </w:trPr>
        <w:tc>
          <w:tcPr>
            <w:tcW w:w="8801"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03 - Транспортные средства международной перевозки и маршрут следования</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51</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Вес товара, указанный в товаросопроводительных документах, отличается от веса товара, рассчитанного путем вычета из фактического веса транспортного средства международной перевозки с товаром веса транспортного средства международной перевозки, указанного в технических документах</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52</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Вес товара, указанный в товаросопроводительных документах, отличается от веса товаров, указанного в товаросопроводительных документах по предыдущим поставкам в этом же транспортном средстве</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53</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Повреждение целостности грузового отделения транспортного средства международной перевозки</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54</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Отсутствие на грузовых отделениях пломб или их нарушение либо отличие маркировки, указанной в представленных перевозчиком (экспедитором) документах</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55</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jc w:val="left"/>
              <w:rPr>
                <w:sz w:val="24"/>
                <w:szCs w:val="24"/>
              </w:rPr>
            </w:pPr>
            <w:r w:rsidRPr="0024640C">
              <w:rPr>
                <w:rStyle w:val="Bodytext2TimesNewRoman1"/>
                <w:rFonts w:ascii="Sylfaen" w:eastAsia="Sylfaen" w:hAnsi="Sylfaen"/>
                <w:sz w:val="24"/>
                <w:szCs w:val="24"/>
              </w:rPr>
              <w:t>Маршрут следования товаров является экономически нецелесообразным</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56</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Загрузка транспортного средства международной перевозки перемещаемыми товарами менее 50% от объема грузового отсека транспортного средств и (или) контейнера</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57</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Наличие в СМ</w:t>
            </w:r>
            <w:r w:rsidRPr="0024640C">
              <w:rPr>
                <w:rStyle w:val="Bodytext2TimesNewRoman1"/>
                <w:rFonts w:ascii="Sylfaen" w:eastAsia="Sylfaen" w:hAnsi="Sylfaen"/>
                <w:sz w:val="24"/>
                <w:szCs w:val="24"/>
                <w:lang w:val="en-US" w:eastAsia="en-US" w:bidi="en-US"/>
              </w:rPr>
              <w:t>R</w:t>
            </w:r>
            <w:r w:rsidRPr="0024640C">
              <w:rPr>
                <w:rStyle w:val="Bodytext2TimesNewRoman1"/>
                <w:rFonts w:ascii="Sylfaen" w:eastAsia="Sylfaen" w:hAnsi="Sylfaen"/>
                <w:sz w:val="24"/>
                <w:szCs w:val="24"/>
              </w:rPr>
              <w:t xml:space="preserve"> отметки об отсутствии водителя при загрузке транспортного средства международной перевозки</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58</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Перемещение товаров через таможенную границу Таможенного союза видом транспорта, отличным от определенного договором перевозки (например, товар перевозится в рамках договора на авиаперевозку, но фактически прибывает на территорию государства - члена Таможенного союза автотранспортом)</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59</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транспортном средстве международной перевозки имеются скрытые дополнительные отсеки, не предусмотренные производителем транспортного средства международной перевозки</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60</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Перегруз товара с одного вида транспорта на другой и его перемещение через таможенную границу Таможенного союза в третьи страны, по невыгодным условиям (риск «лжетранзита»)</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61</w:t>
            </w:r>
          </w:p>
        </w:tc>
        <w:tc>
          <w:tcPr>
            <w:tcW w:w="829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Экспорт товаров, подпадающих под экспортную пошлину, в страну, имеющую преференции по уплате такой пошлины (риск «лжеэкспорта»)</w:t>
            </w:r>
          </w:p>
        </w:tc>
      </w:tr>
      <w:tr w:rsidR="00203B27" w:rsidRPr="0024640C" w:rsidTr="0024640C">
        <w:trPr>
          <w:jc w:val="center"/>
        </w:trPr>
        <w:tc>
          <w:tcPr>
            <w:tcW w:w="8801"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04 - Товарная партия</w:t>
            </w:r>
          </w:p>
        </w:tc>
      </w:tr>
      <w:tr w:rsidR="00203B27" w:rsidRPr="0024640C" w:rsidTr="0024640C">
        <w:trPr>
          <w:jc w:val="center"/>
        </w:trPr>
        <w:tc>
          <w:tcPr>
            <w:tcW w:w="509" w:type="dxa"/>
            <w:tcBorders>
              <w:top w:val="single" w:sz="4" w:space="0" w:color="auto"/>
              <w:lef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62</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Представление товаров для декларирования в таможенный орган, отличный от таможенного органа назначения, указанного таможенным органом отправления</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63</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Декларирование товаров осуществляется таможенному органу, отличному от таможенного органа, завершившего таможенную процедуру таможенного транзита</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64</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jc w:val="left"/>
              <w:rPr>
                <w:sz w:val="24"/>
                <w:szCs w:val="24"/>
              </w:rPr>
            </w:pPr>
            <w:r w:rsidRPr="0024640C">
              <w:rPr>
                <w:rStyle w:val="Bodytext2TimesNewRoman1"/>
                <w:rFonts w:ascii="Sylfaen" w:eastAsia="Sylfaen" w:hAnsi="Sylfaen"/>
                <w:sz w:val="24"/>
                <w:szCs w:val="24"/>
              </w:rPr>
              <w:t>В одном транспортном средстве международной перевозки и/или в одном упаковочном месте одновременно перевозятся товары, одни из которых относятся к товарам риска, а другие - к товарам прикрытия</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65</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 xml:space="preserve">В одном транспортном средстве международной перевозки одновременно </w:t>
            </w:r>
            <w:r w:rsidRPr="0024640C">
              <w:rPr>
                <w:rStyle w:val="Bodytext2TimesNewRoman1"/>
                <w:rFonts w:ascii="Sylfaen" w:eastAsia="Sylfaen" w:hAnsi="Sylfaen"/>
                <w:sz w:val="24"/>
                <w:szCs w:val="24"/>
              </w:rPr>
              <w:lastRenderedPageBreak/>
              <w:t>перевозятся товары с различными требованиями к условиям перевозки (например, температурный режим и т.п.)</w:t>
            </w:r>
          </w:p>
        </w:tc>
      </w:tr>
      <w:tr w:rsidR="00203B27" w:rsidRPr="0024640C" w:rsidTr="0024640C">
        <w:trPr>
          <w:jc w:val="center"/>
        </w:trPr>
        <w:tc>
          <w:tcPr>
            <w:tcW w:w="509" w:type="dxa"/>
            <w:tcBorders>
              <w:top w:val="single" w:sz="4" w:space="0" w:color="auto"/>
              <w:left w:val="single" w:sz="4" w:space="0" w:color="auto"/>
            </w:tcBorders>
            <w:shd w:val="clear" w:color="auto" w:fill="FFFFFF"/>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66</w:t>
            </w:r>
          </w:p>
        </w:tc>
        <w:tc>
          <w:tcPr>
            <w:tcW w:w="829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одном транспортном средстве международной перевозки вывозятся несколько товарных партий, задекларированных по нескольким ДТ, при этом в отношении одной из них установлены вывозные таможенные пошлины</w:t>
            </w:r>
          </w:p>
        </w:tc>
      </w:tr>
      <w:tr w:rsidR="00203B27" w:rsidRPr="0024640C" w:rsidTr="0024640C">
        <w:trPr>
          <w:jc w:val="center"/>
        </w:trPr>
        <w:tc>
          <w:tcPr>
            <w:tcW w:w="8801" w:type="dxa"/>
            <w:gridSpan w:val="2"/>
            <w:tcBorders>
              <w:top w:val="single" w:sz="4" w:space="0" w:color="auto"/>
              <w:left w:val="single" w:sz="4" w:space="0" w:color="auto"/>
              <w:righ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05 - Сделка</w:t>
            </w:r>
          </w:p>
        </w:tc>
      </w:tr>
      <w:tr w:rsidR="00203B27" w:rsidRPr="0024640C" w:rsidTr="0024640C">
        <w:trPr>
          <w:jc w:val="center"/>
        </w:trPr>
        <w:tc>
          <w:tcPr>
            <w:tcW w:w="509" w:type="dxa"/>
            <w:tcBorders>
              <w:top w:val="single" w:sz="4" w:space="0" w:color="auto"/>
              <w:left w:val="single" w:sz="4" w:space="0" w:color="auto"/>
              <w:bottom w:val="single" w:sz="4" w:space="0" w:color="auto"/>
            </w:tcBorders>
            <w:shd w:val="clear" w:color="auto" w:fill="FFFFFF"/>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67</w:t>
            </w:r>
          </w:p>
        </w:tc>
        <w:tc>
          <w:tcPr>
            <w:tcW w:w="8292" w:type="dxa"/>
            <w:tcBorders>
              <w:top w:val="single" w:sz="4" w:space="0" w:color="auto"/>
              <w:left w:val="single" w:sz="4" w:space="0" w:color="auto"/>
              <w:bottom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Изменение реквизитов получателя товара по инициативе перевозчика после прибытия товаров на территорию государства - члена Таможенного союза</w:t>
            </w:r>
          </w:p>
        </w:tc>
      </w:tr>
    </w:tbl>
    <w:p w:rsidR="00203B27" w:rsidRPr="0024640C" w:rsidRDefault="00203B27" w:rsidP="00982DA1">
      <w:pPr>
        <w:spacing w:after="120"/>
      </w:pPr>
    </w:p>
    <w:p w:rsidR="00203B27" w:rsidRPr="0024640C" w:rsidRDefault="00203B27" w:rsidP="00982DA1">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8325"/>
      </w:tblGrid>
      <w:tr w:rsidR="00203B27" w:rsidRPr="0024640C" w:rsidTr="0024640C">
        <w:trPr>
          <w:jc w:val="center"/>
        </w:trPr>
        <w:tc>
          <w:tcPr>
            <w:tcW w:w="47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 п/п</w:t>
            </w:r>
          </w:p>
        </w:tc>
        <w:tc>
          <w:tcPr>
            <w:tcW w:w="8325"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Наименование критерия</w:t>
            </w:r>
          </w:p>
        </w:tc>
      </w:tr>
      <w:tr w:rsidR="00203B27" w:rsidRPr="0024640C" w:rsidTr="0024640C">
        <w:trPr>
          <w:jc w:val="center"/>
        </w:trPr>
        <w:tc>
          <w:tcPr>
            <w:tcW w:w="47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68</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Платежи по внешнеэкономическому договору (контракту) осуществляются через банки, находящиеся в оффшорных зонах</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69</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Одна из сторон внешнеэкономической сделки зарегистрирована в оффшорной зоне, либо сделка осуществляется по поручению резидента оффшорной зоны</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70</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Отличие страны происхождения от страны отправления товаров при условии отправления товаров через склады, расположенные в прибалтийских или иных приграничных государствах</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71</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Несоответствие условий поставки товаров или других существенных условий сделки, указанных во внешнеэкономическом договоре (контракте), аналогичным сведениям, указанным в товаросопроводительных документах (счет-фактурах, экспортных декларациях и др.)</w:t>
            </w:r>
          </w:p>
        </w:tc>
      </w:tr>
      <w:tr w:rsidR="00203B27" w:rsidRPr="0024640C" w:rsidTr="0024640C">
        <w:trPr>
          <w:jc w:val="center"/>
        </w:trPr>
        <w:tc>
          <w:tcPr>
            <w:tcW w:w="470"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72</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Стороны внешнеэкономической сделки являются взаимосвязанными лицами</w:t>
            </w:r>
          </w:p>
        </w:tc>
      </w:tr>
      <w:tr w:rsidR="00203B27" w:rsidRPr="0024640C" w:rsidTr="0024640C">
        <w:trPr>
          <w:jc w:val="center"/>
        </w:trPr>
        <w:tc>
          <w:tcPr>
            <w:tcW w:w="8795"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06-Товар</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73</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Расхождение сведений, содержащихся в электронном уведомлении о направленном товаре, поступившем из таможенного органа отправления, ТД или книжке МДП, со сведениями, заявленными в ДТ, если указанные расхождения приведут к уменьшению величины причитающихся к уплате таможенных пошлин, налогов либо уклонению от применения запретов и ограничений</w:t>
            </w:r>
          </w:p>
        </w:tc>
      </w:tr>
      <w:tr w:rsidR="00203B27" w:rsidRPr="0024640C" w:rsidTr="0024640C">
        <w:trPr>
          <w:jc w:val="center"/>
        </w:trPr>
        <w:tc>
          <w:tcPr>
            <w:tcW w:w="470"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74</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Нехарактерное отношение веса нетто к весу брутто перевозимых товаров</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75</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Вес либо иные количественные характеристики единицы товара не являются характерными для данного товара или идентичных, однородных товаров, товара того же класса или вида</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76</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 xml:space="preserve">Товары, заявляемые как происходящие из государств - участников СНГ, при </w:t>
            </w:r>
            <w:r w:rsidRPr="0024640C">
              <w:rPr>
                <w:rStyle w:val="Bodytext2TimesNewRoman1"/>
                <w:rFonts w:ascii="Sylfaen" w:eastAsia="Sylfaen" w:hAnsi="Sylfaen"/>
                <w:sz w:val="24"/>
                <w:szCs w:val="24"/>
              </w:rPr>
              <w:lastRenderedPageBreak/>
              <w:t>ввозе которых на таможенную территорию Таможенного союза предоставляются тарифные преференции (при наличии информации, что такие товары не производятся или их объемы превышают производственные мощности)</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77</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заявляемые как происходящие из развивающихся и наименее развитых стран, при ввозе которых на территорию государств - членов Таможенного союза предоставляются тарифные преференции (при наличии информации, что такие товары не производятся или их объемы превышают производственные мощности)</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78</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отношении товаров в соответствии с таможенным законодательством Таможенного союза и законодательством государств - членов Таможенного союза, международными договорами предоставляются льготы по уплате таможенных пошлин, налогов</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79</w:t>
            </w:r>
          </w:p>
        </w:tc>
        <w:tc>
          <w:tcPr>
            <w:tcW w:w="8325"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ввезенные в соответствии с внешнеэкономическими договорами (контрактами), отличными от договоров купли-продажи, декларируют для внутреннего потребления</w:t>
            </w:r>
          </w:p>
        </w:tc>
      </w:tr>
      <w:tr w:rsidR="00203B27" w:rsidRPr="0024640C" w:rsidTr="0024640C">
        <w:trPr>
          <w:jc w:val="center"/>
        </w:trPr>
        <w:tc>
          <w:tcPr>
            <w:tcW w:w="47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80</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которые могут быть использованы в качестве товаров прикрытия для товаров, в отношении которых применяются особые виды пошлин</w:t>
            </w:r>
          </w:p>
        </w:tc>
      </w:tr>
      <w:tr w:rsidR="00203B27" w:rsidRPr="0024640C" w:rsidTr="0024640C">
        <w:trPr>
          <w:jc w:val="center"/>
        </w:trPr>
        <w:tc>
          <w:tcPr>
            <w:tcW w:w="47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81</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Заявляемые характеристики товаров, влияющие на величину взимаемых при их ввозе акцизов, являются пограничными для применения ставок акцизов</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82</w:t>
            </w:r>
          </w:p>
        </w:tc>
        <w:tc>
          <w:tcPr>
            <w:tcW w:w="8325"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декларируемые кодами ТН ВЭД ТС, на которые не распространяются запреты и ограничения, но которые с достаточной степенью вероятности (с учетом сходства своего назначения, характеристик и внешнего вида) могут декларироваться вместо товаров, на которые распространяются запреты и ограничения, и в отношении которых выявлены (или есть потенциальные) риски нарушения таможенного законодательства (товары риска и прикрытия</w:t>
            </w:r>
          </w:p>
        </w:tc>
      </w:tr>
      <w:tr w:rsidR="00203B27" w:rsidRPr="0024640C" w:rsidTr="0024640C">
        <w:trPr>
          <w:jc w:val="center"/>
        </w:trPr>
        <w:tc>
          <w:tcPr>
            <w:tcW w:w="47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83</w:t>
            </w:r>
          </w:p>
        </w:tc>
        <w:tc>
          <w:tcPr>
            <w:tcW w:w="8325"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декларируемые как товары, бывшие в употреблении</w:t>
            </w:r>
          </w:p>
        </w:tc>
      </w:tr>
      <w:tr w:rsidR="00203B27" w:rsidRPr="0024640C" w:rsidTr="0024640C">
        <w:trPr>
          <w:jc w:val="center"/>
        </w:trPr>
        <w:tc>
          <w:tcPr>
            <w:tcW w:w="470" w:type="dxa"/>
            <w:tcBorders>
              <w:top w:val="single" w:sz="4" w:space="0" w:color="auto"/>
              <w:left w:val="single" w:sz="4" w:space="0" w:color="auto"/>
              <w:bottom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84</w:t>
            </w:r>
          </w:p>
        </w:tc>
        <w:tc>
          <w:tcPr>
            <w:tcW w:w="8325" w:type="dxa"/>
            <w:tcBorders>
              <w:top w:val="single" w:sz="4" w:space="0" w:color="auto"/>
              <w:left w:val="single" w:sz="4" w:space="0" w:color="auto"/>
              <w:bottom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На товаре (упаковке) имеется предупредительная маркировка о правовой охране товарных знаков или объектов авторских прав (товарные знаки ®, авторские права ) при не указании сведений в ДТ, что товар относится к объектам интеллектуальной собственности</w:t>
            </w:r>
          </w:p>
        </w:tc>
      </w:tr>
    </w:tbl>
    <w:p w:rsidR="00203B27" w:rsidRPr="0024640C" w:rsidRDefault="00203B27" w:rsidP="00982DA1">
      <w:pPr>
        <w:spacing w:after="120"/>
      </w:pPr>
    </w:p>
    <w:p w:rsidR="00203B27" w:rsidRPr="0024640C" w:rsidRDefault="00203B27" w:rsidP="00982DA1">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8297"/>
      </w:tblGrid>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 п/п</w:t>
            </w:r>
          </w:p>
        </w:tc>
        <w:tc>
          <w:tcPr>
            <w:tcW w:w="8297"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Наименование критерии</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85</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различных наименований, декларируемые с указанием одного классификационного кода ТН ВЭД ТС</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86</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 xml:space="preserve">Товары, поставляемые в разобранном виде, декларируемые с указанием </w:t>
            </w:r>
            <w:r w:rsidRPr="0024640C">
              <w:rPr>
                <w:rStyle w:val="Bodytext2TimesNewRoman1"/>
                <w:rFonts w:ascii="Sylfaen" w:eastAsia="Sylfaen" w:hAnsi="Sylfaen"/>
                <w:sz w:val="24"/>
                <w:szCs w:val="24"/>
              </w:rPr>
              <w:lastRenderedPageBreak/>
              <w:t>одного кода ТН ВЭД ТС, компоненты (части) которых имеют раздельную упаковку и/или этикеровку при транспортировке</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87</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Многокомпонентные товары или товары, части которых изготовлены из различных материалов, декларируемые с указанием кода ТН ВЭД ТС, соответствующего по наименованию, материалу, функции и т.д. одному из компонентов или частей</w:t>
            </w:r>
          </w:p>
        </w:tc>
      </w:tr>
      <w:tr w:rsidR="00203B27" w:rsidRPr="0024640C" w:rsidTr="0024640C">
        <w:trPr>
          <w:jc w:val="center"/>
        </w:trPr>
        <w:tc>
          <w:tcPr>
            <w:tcW w:w="504"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88</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в отношении которых установлены нулевые ставки ввозных таможенных пошлин</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89</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при совершении таможенных операций в отношении которых для достоверной классификации необходимо экспертное заключение о химическом составе или физических свойствах</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90</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объемы ввоза которых по данным таможенной статистики государств - членов Таможенного союза значительно меньше объемов их вывоза по данным статистики внешней торговли стран торговых партнеров государств - членов Таможенного союза</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91</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заявляемые декларантом в «остаточных» подсубпозициях «остаточных» товарных позиций ТН ВЭД ТС</w:t>
            </w:r>
          </w:p>
        </w:tc>
      </w:tr>
      <w:tr w:rsidR="00203B27" w:rsidRPr="0024640C" w:rsidTr="0024640C">
        <w:trPr>
          <w:jc w:val="center"/>
        </w:trPr>
        <w:tc>
          <w:tcPr>
            <w:tcW w:w="504"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92</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Товары, заявляемые декларантом как «часть», а не «готовое» изделие</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93</w:t>
            </w:r>
          </w:p>
        </w:tc>
        <w:tc>
          <w:tcPr>
            <w:tcW w:w="8297"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Изменение структуры и объемов декларирования в номенклатуре перемещаемых товаров</w:t>
            </w:r>
          </w:p>
        </w:tc>
      </w:tr>
      <w:tr w:rsidR="00203B27" w:rsidRPr="0024640C" w:rsidTr="0024640C">
        <w:trPr>
          <w:jc w:val="center"/>
        </w:trPr>
        <w:tc>
          <w:tcPr>
            <w:tcW w:w="8801"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07 - Страна</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94</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Страны, при ввозе товаров из которых зафиксированы частые нарушения, связанные с несоблюдением запретов и ограничений и прав интеллектуальной собственности</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95</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Страна отправления товара не является одновременно страной происхождения и торгующей страной</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96</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Страны, в отношении которых имеется информация о производстве контрафактных товаров или отдельных товаров, на которые в государствах - членах Таможенного союза установлены запреты и ограничения</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97</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Страны, в отношении которых известно о готовящихся программах создания изделий, для производства которых требуются товары, подпадающие при вывозе с таможенной территории Таможенного союза под действие запретов и ограничений</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98</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jc w:val="left"/>
              <w:rPr>
                <w:sz w:val="24"/>
                <w:szCs w:val="24"/>
              </w:rPr>
            </w:pPr>
            <w:r w:rsidRPr="0024640C">
              <w:rPr>
                <w:rStyle w:val="Bodytext2TimesNewRoman1"/>
                <w:rFonts w:ascii="Sylfaen" w:eastAsia="Sylfaen" w:hAnsi="Sylfaen"/>
                <w:sz w:val="24"/>
                <w:szCs w:val="24"/>
              </w:rPr>
              <w:t>Торгующей страной (страной отправления, страной назначения) является страна, в отношении которой установлены санкции, введенные международным законодательством</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99</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Страной происхождения товара является страна, в которой правообладатель товарного знака не имеет производства</w:t>
            </w:r>
          </w:p>
        </w:tc>
      </w:tr>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lastRenderedPageBreak/>
              <w:t>100</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jc w:val="left"/>
              <w:rPr>
                <w:sz w:val="24"/>
                <w:szCs w:val="24"/>
              </w:rPr>
            </w:pPr>
            <w:r w:rsidRPr="0024640C">
              <w:rPr>
                <w:rStyle w:val="Bodytext2TimesNewRoman1"/>
                <w:rFonts w:ascii="Sylfaen" w:eastAsia="Sylfaen" w:hAnsi="Sylfaen"/>
                <w:sz w:val="24"/>
                <w:szCs w:val="24"/>
              </w:rPr>
              <w:t>Торгующими странами при декларировании значительной части товаров являются оффшорные зоны</w:t>
            </w:r>
          </w:p>
        </w:tc>
      </w:tr>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101</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Комплектующие части к товарам, маркированным товарным знаком, отгружаются в страну, где у правообладателя нет производства</w:t>
            </w:r>
          </w:p>
        </w:tc>
      </w:tr>
      <w:tr w:rsidR="00203B27" w:rsidRPr="0024640C" w:rsidTr="0024640C">
        <w:trPr>
          <w:jc w:val="center"/>
        </w:trPr>
        <w:tc>
          <w:tcPr>
            <w:tcW w:w="8801"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08 - Стоимость товара</w:t>
            </w:r>
          </w:p>
        </w:tc>
      </w:tr>
      <w:tr w:rsidR="00203B27" w:rsidRPr="0024640C" w:rsidTr="0024640C">
        <w:trPr>
          <w:jc w:val="center"/>
        </w:trPr>
        <w:tc>
          <w:tcPr>
            <w:tcW w:w="504"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102</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Фактурная (контрактная) стоимость товара ниже указанной в информационных письмах таможенных органов и в иных источниках информации</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103</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Имеется существенное несоответствие между ценой ввозимого товара и ценой идентичных, однородных товаров, товаров того же класса или вида</w:t>
            </w:r>
          </w:p>
        </w:tc>
      </w:tr>
      <w:tr w:rsidR="00203B27" w:rsidRPr="0024640C" w:rsidTr="0024640C">
        <w:trPr>
          <w:jc w:val="center"/>
        </w:trPr>
        <w:tc>
          <w:tcPr>
            <w:tcW w:w="504"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104</w:t>
            </w:r>
          </w:p>
        </w:tc>
        <w:tc>
          <w:tcPr>
            <w:tcW w:w="8297"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Снижение уровня таможенной стоимости товара по сравнению с уровнем стоимости данного товара, ранее декларируемого тем же участником ВЭД в другом таможенном органе</w:t>
            </w:r>
          </w:p>
        </w:tc>
      </w:tr>
      <w:tr w:rsidR="00203B27" w:rsidRPr="0024640C" w:rsidTr="0024640C">
        <w:trPr>
          <w:jc w:val="center"/>
        </w:trPr>
        <w:tc>
          <w:tcPr>
            <w:tcW w:w="504" w:type="dxa"/>
            <w:tcBorders>
              <w:top w:val="single" w:sz="4" w:space="0" w:color="auto"/>
              <w:left w:val="single" w:sz="4" w:space="0" w:color="auto"/>
              <w:bottom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105</w:t>
            </w:r>
          </w:p>
        </w:tc>
        <w:tc>
          <w:tcPr>
            <w:tcW w:w="8297" w:type="dxa"/>
            <w:tcBorders>
              <w:top w:val="single" w:sz="4" w:space="0" w:color="auto"/>
              <w:left w:val="single" w:sz="4" w:space="0" w:color="auto"/>
              <w:bottom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Цена за единицу поставляемой продукции, указанная в коммерческих счетах на оплату, установлена в нехарактерных и/или некорректных величинах</w:t>
            </w:r>
          </w:p>
        </w:tc>
      </w:tr>
    </w:tbl>
    <w:p w:rsidR="00203B27" w:rsidRPr="0024640C" w:rsidRDefault="00203B27" w:rsidP="00982DA1">
      <w:pPr>
        <w:spacing w:after="120"/>
      </w:pPr>
    </w:p>
    <w:p w:rsidR="00203B27" w:rsidRPr="0024640C" w:rsidRDefault="00203B27" w:rsidP="00982DA1">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8302"/>
      </w:tblGrid>
      <w:tr w:rsidR="00203B27" w:rsidRPr="0024640C" w:rsidTr="0024640C">
        <w:trPr>
          <w:jc w:val="center"/>
        </w:trPr>
        <w:tc>
          <w:tcPr>
            <w:tcW w:w="48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 п/п</w:t>
            </w:r>
          </w:p>
        </w:tc>
        <w:tc>
          <w:tcPr>
            <w:tcW w:w="8302" w:type="dxa"/>
            <w:tcBorders>
              <w:top w:val="single" w:sz="4" w:space="0" w:color="auto"/>
              <w:left w:val="single" w:sz="4" w:space="0" w:color="auto"/>
              <w:right w:val="single" w:sz="4" w:space="0" w:color="auto"/>
            </w:tcBorders>
            <w:shd w:val="clear" w:color="auto" w:fill="FFFFFF"/>
            <w:vAlign w:val="center"/>
          </w:tcPr>
          <w:p w:rsidR="00203B27" w:rsidRPr="0024640C" w:rsidRDefault="002B6778" w:rsidP="00982DA1">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Наименование критерия</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106</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Уровень таможенной стоимости товаров, помещаемых под таможенную процедуру выпуска для внутреннего потребления, ниже уровня таможенной стоимости идентичных товаров, помещаемых под таможенную процедуру свободная таможенная зона</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107</w:t>
            </w:r>
          </w:p>
        </w:tc>
        <w:tc>
          <w:tcPr>
            <w:tcW w:w="830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Наличие помимо внешнеэкономического договора купли-продажи, договора на оказание услуг (строительство, возведение, сборка, монтаж, обслуживание или оказание технического содействия), стоимость которых сопоставима со стоимостью декларируемых товаров</w:t>
            </w:r>
          </w:p>
        </w:tc>
      </w:tr>
      <w:tr w:rsidR="00203B27" w:rsidRPr="0024640C" w:rsidTr="0024640C">
        <w:trPr>
          <w:jc w:val="center"/>
        </w:trPr>
        <w:tc>
          <w:tcPr>
            <w:tcW w:w="48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108</w:t>
            </w:r>
          </w:p>
        </w:tc>
        <w:tc>
          <w:tcPr>
            <w:tcW w:w="830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Наличие значительных вычетов из цены сделки при формировании таможенной стоимости либо вычетов, напрямую не зависящих от заявленных условий</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109</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Заявленная таможенная стоимость готовой продукции, не относящейся к сырьевой группе, ниже цен на соответствующее сырье</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110</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Цена товара не использовалась для определения таможенной стоимости товаров по цене сделки с ввозимыми (вывозимыми) товарами</w:t>
            </w:r>
          </w:p>
        </w:tc>
      </w:tr>
      <w:tr w:rsidR="00203B27" w:rsidRPr="0024640C" w:rsidTr="0024640C">
        <w:trPr>
          <w:jc w:val="center"/>
        </w:trPr>
        <w:tc>
          <w:tcPr>
            <w:tcW w:w="480" w:type="dxa"/>
            <w:tcBorders>
              <w:top w:val="single" w:sz="4" w:space="0" w:color="auto"/>
              <w:lef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111</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Цена товара заявлена в валюте, отличной от валюты цены договора</w:t>
            </w:r>
          </w:p>
        </w:tc>
      </w:tr>
      <w:tr w:rsidR="00203B27" w:rsidRPr="0024640C" w:rsidTr="0024640C">
        <w:trPr>
          <w:jc w:val="center"/>
        </w:trPr>
        <w:tc>
          <w:tcPr>
            <w:tcW w:w="480" w:type="dxa"/>
            <w:tcBorders>
              <w:top w:val="single" w:sz="4" w:space="0" w:color="auto"/>
              <w:lef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112</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Указание в документах (в том числе страховых), низкой стоимости для товаров, маркированных известными товарными знаками</w:t>
            </w:r>
          </w:p>
        </w:tc>
      </w:tr>
      <w:tr w:rsidR="00203B27" w:rsidRPr="0024640C" w:rsidTr="0024640C">
        <w:trPr>
          <w:jc w:val="center"/>
        </w:trPr>
        <w:tc>
          <w:tcPr>
            <w:tcW w:w="8782" w:type="dxa"/>
            <w:gridSpan w:val="2"/>
            <w:tcBorders>
              <w:top w:val="single" w:sz="4" w:space="0" w:color="auto"/>
              <w:left w:val="single" w:sz="4" w:space="0" w:color="auto"/>
              <w:right w:val="single" w:sz="4" w:space="0" w:color="auto"/>
            </w:tcBorders>
            <w:shd w:val="clear" w:color="auto" w:fill="FFFFFF"/>
            <w:vAlign w:val="center"/>
          </w:tcPr>
          <w:p w:rsidR="00203B27" w:rsidRPr="0024640C" w:rsidRDefault="002B6778" w:rsidP="0024640C">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lastRenderedPageBreak/>
              <w:t>09 -Таможенные платежи</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113</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Сумма таможенных платежей, которые могут быть начислены при выпуске товаров в свободное обращение, значительно выше уровня гарантии обеспечения таможенных платежей по книжке МДП при заявлении таможенного транзита</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114</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Таможенные платежи уплачиваются третьими лицами (за исключением таможенных представителей) или в наличной форме</w:t>
            </w:r>
          </w:p>
        </w:tc>
      </w:tr>
      <w:tr w:rsidR="00203B27" w:rsidRPr="0024640C" w:rsidTr="0024640C">
        <w:trPr>
          <w:jc w:val="center"/>
        </w:trPr>
        <w:tc>
          <w:tcPr>
            <w:tcW w:w="8782"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b/>
                <w:sz w:val="24"/>
                <w:szCs w:val="24"/>
              </w:rPr>
            </w:pPr>
            <w:r w:rsidRPr="0024640C">
              <w:rPr>
                <w:rStyle w:val="Bodytext2TimesNewRoman1"/>
                <w:rFonts w:ascii="Sylfaen" w:eastAsia="Sylfaen" w:hAnsi="Sylfaen"/>
                <w:b/>
                <w:sz w:val="24"/>
                <w:szCs w:val="24"/>
              </w:rPr>
              <w:t>10 - Уполномоченное должностное лицо</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115</w:t>
            </w:r>
          </w:p>
        </w:tc>
        <w:tc>
          <w:tcPr>
            <w:tcW w:w="8302" w:type="dxa"/>
            <w:tcBorders>
              <w:top w:val="single" w:sz="4" w:space="0" w:color="auto"/>
              <w:left w:val="single" w:sz="4" w:space="0" w:color="auto"/>
              <w:right w:val="single" w:sz="4" w:space="0" w:color="auto"/>
            </w:tcBorders>
            <w:shd w:val="clear" w:color="auto" w:fill="FFFFFF"/>
            <w:vAlign w:val="bottom"/>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Количество транспортных средств с товаром, в отношении которых должностными лицами таможенного органа совершались таможенные операции, на СВХ превышает пропускную способность данного СВХ</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116</w:t>
            </w:r>
          </w:p>
        </w:tc>
        <w:tc>
          <w:tcPr>
            <w:tcW w:w="830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Проведение документального контроля одним и тем же должностным лицом таможенного органа при совершении таможенных операций (таможенных процедур) в отношении товаров одного и того же участника ВЭД в течение периода времени</w:t>
            </w:r>
          </w:p>
        </w:tc>
      </w:tr>
      <w:tr w:rsidR="00203B27" w:rsidRPr="0024640C" w:rsidTr="0024640C">
        <w:trPr>
          <w:jc w:val="center"/>
        </w:trPr>
        <w:tc>
          <w:tcPr>
            <w:tcW w:w="8782" w:type="dxa"/>
            <w:gridSpan w:val="2"/>
            <w:tcBorders>
              <w:top w:val="single" w:sz="4" w:space="0" w:color="auto"/>
              <w:left w:val="single" w:sz="4" w:space="0" w:color="auto"/>
              <w:right w:val="single" w:sz="4" w:space="0" w:color="auto"/>
            </w:tcBorders>
            <w:shd w:val="clear" w:color="auto" w:fill="FFFFFF"/>
            <w:vAlign w:val="bottom"/>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3"/>
                <w:rFonts w:ascii="Sylfaen" w:eastAsia="Sylfaen" w:hAnsi="Sylfaen"/>
                <w:sz w:val="24"/>
                <w:szCs w:val="24"/>
              </w:rPr>
              <w:t>11-</w:t>
            </w:r>
            <w:r w:rsidR="0024640C" w:rsidRPr="0024640C">
              <w:rPr>
                <w:rStyle w:val="Bodytext2TimesNewRoman3"/>
                <w:rFonts w:ascii="Sylfaen" w:eastAsia="Sylfaen" w:hAnsi="Sylfaen"/>
                <w:sz w:val="24"/>
                <w:szCs w:val="24"/>
              </w:rPr>
              <w:t>ИДК</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117</w:t>
            </w:r>
          </w:p>
        </w:tc>
        <w:tc>
          <w:tcPr>
            <w:tcW w:w="830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Выявление признаков нарушений таможенного законодательства Таможенного союза и законодательства государств - членов Таможенного союза по результатам сопоставления рентгеновских изображений товаров и транспортных средств международной перевозки, полученных в результате применения инспекционно-досмотрового комплекса (далее - ИДК), со сведениями, содержащимися в товаросопроводительных (коммерческих, транспортных, таможенных) документах</w:t>
            </w:r>
          </w:p>
        </w:tc>
      </w:tr>
      <w:tr w:rsidR="00203B27" w:rsidRPr="0024640C" w:rsidTr="0024640C">
        <w:trPr>
          <w:jc w:val="center"/>
        </w:trPr>
        <w:tc>
          <w:tcPr>
            <w:tcW w:w="480" w:type="dxa"/>
            <w:tcBorders>
              <w:top w:val="single" w:sz="4" w:space="0" w:color="auto"/>
              <w:left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118</w:t>
            </w:r>
          </w:p>
        </w:tc>
        <w:tc>
          <w:tcPr>
            <w:tcW w:w="8302" w:type="dxa"/>
            <w:tcBorders>
              <w:top w:val="single" w:sz="4" w:space="0" w:color="auto"/>
              <w:left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одном транспортном средстве международной перевозки одновременно перевозятся товары, подлежащие и не подлежащие рентгеновскому исследованию с использованием ИДК</w:t>
            </w:r>
          </w:p>
        </w:tc>
      </w:tr>
      <w:tr w:rsidR="00203B27" w:rsidRPr="0024640C" w:rsidTr="0024640C">
        <w:trPr>
          <w:jc w:val="center"/>
        </w:trPr>
        <w:tc>
          <w:tcPr>
            <w:tcW w:w="480" w:type="dxa"/>
            <w:tcBorders>
              <w:top w:val="single" w:sz="4" w:space="0" w:color="auto"/>
              <w:left w:val="single" w:sz="4" w:space="0" w:color="auto"/>
              <w:bottom w:val="single" w:sz="4" w:space="0" w:color="auto"/>
            </w:tcBorders>
            <w:shd w:val="clear" w:color="auto" w:fill="FFFFFF"/>
          </w:tcPr>
          <w:p w:rsidR="00203B27" w:rsidRPr="0024640C" w:rsidRDefault="002B6778" w:rsidP="0024640C">
            <w:pPr>
              <w:pStyle w:val="Bodytext20"/>
              <w:shd w:val="clear" w:color="auto" w:fill="auto"/>
              <w:spacing w:after="120" w:line="240" w:lineRule="auto"/>
              <w:jc w:val="center"/>
              <w:rPr>
                <w:sz w:val="24"/>
                <w:szCs w:val="24"/>
              </w:rPr>
            </w:pPr>
            <w:r w:rsidRPr="0024640C">
              <w:rPr>
                <w:rStyle w:val="Bodytext2TimesNewRoman1"/>
                <w:rFonts w:ascii="Sylfaen" w:eastAsia="Sylfaen" w:hAnsi="Sylfaen"/>
                <w:sz w:val="24"/>
                <w:szCs w:val="24"/>
              </w:rPr>
              <w:t>119</w:t>
            </w:r>
          </w:p>
        </w:tc>
        <w:tc>
          <w:tcPr>
            <w:tcW w:w="8302" w:type="dxa"/>
            <w:tcBorders>
              <w:top w:val="single" w:sz="4" w:space="0" w:color="auto"/>
              <w:left w:val="single" w:sz="4" w:space="0" w:color="auto"/>
              <w:bottom w:val="single" w:sz="4" w:space="0" w:color="auto"/>
              <w:right w:val="single" w:sz="4" w:space="0" w:color="auto"/>
            </w:tcBorders>
            <w:shd w:val="clear" w:color="auto" w:fill="FFFFFF"/>
          </w:tcPr>
          <w:p w:rsidR="00203B27" w:rsidRPr="0024640C" w:rsidRDefault="002B6778" w:rsidP="00982DA1">
            <w:pPr>
              <w:pStyle w:val="Bodytext20"/>
              <w:shd w:val="clear" w:color="auto" w:fill="auto"/>
              <w:spacing w:after="120" w:line="240" w:lineRule="auto"/>
              <w:rPr>
                <w:sz w:val="24"/>
                <w:szCs w:val="24"/>
              </w:rPr>
            </w:pPr>
            <w:r w:rsidRPr="0024640C">
              <w:rPr>
                <w:rStyle w:val="Bodytext2TimesNewRoman1"/>
                <w:rFonts w:ascii="Sylfaen" w:eastAsia="Sylfaen" w:hAnsi="Sylfaen"/>
                <w:sz w:val="24"/>
                <w:szCs w:val="24"/>
              </w:rPr>
              <w:t>В транспортном средстве перемещаются товары с высоким уровнем поглощения рентгеновских лучей, что не позволяет на снимке ИДК идентифицировать товары либо выявить скрытие вложения и полости</w:t>
            </w:r>
          </w:p>
        </w:tc>
      </w:tr>
    </w:tbl>
    <w:p w:rsidR="00203B27" w:rsidRPr="0024640C" w:rsidRDefault="00203B27" w:rsidP="00982DA1">
      <w:pPr>
        <w:spacing w:after="120"/>
      </w:pPr>
    </w:p>
    <w:p w:rsidR="00982DA1" w:rsidRPr="0024640C" w:rsidRDefault="00982DA1">
      <w:r w:rsidRPr="0024640C">
        <w:br w:type="page"/>
      </w:r>
    </w:p>
    <w:p w:rsidR="00203B27" w:rsidRPr="0024640C" w:rsidRDefault="002B6778" w:rsidP="00982DA1">
      <w:pPr>
        <w:pStyle w:val="Bodytext20"/>
        <w:shd w:val="clear" w:color="auto" w:fill="auto"/>
        <w:spacing w:after="120" w:line="240" w:lineRule="auto"/>
        <w:ind w:left="5670"/>
        <w:rPr>
          <w:sz w:val="24"/>
          <w:szCs w:val="24"/>
        </w:rPr>
      </w:pPr>
      <w:r w:rsidRPr="0024640C">
        <w:rPr>
          <w:rStyle w:val="Bodytext2TimesNewRoman0"/>
          <w:rFonts w:ascii="Sylfaen" w:eastAsia="Sylfaen" w:hAnsi="Sylfaen"/>
          <w:sz w:val="24"/>
          <w:szCs w:val="24"/>
        </w:rPr>
        <w:lastRenderedPageBreak/>
        <w:t>Приложение № 2</w:t>
      </w:r>
    </w:p>
    <w:p w:rsidR="00203B27" w:rsidRPr="0024640C" w:rsidRDefault="002B6778" w:rsidP="00982DA1">
      <w:pPr>
        <w:pStyle w:val="Bodytext20"/>
        <w:shd w:val="clear" w:color="auto" w:fill="auto"/>
        <w:spacing w:after="120" w:line="240" w:lineRule="auto"/>
        <w:ind w:left="5670"/>
        <w:rPr>
          <w:sz w:val="24"/>
          <w:szCs w:val="24"/>
        </w:rPr>
      </w:pPr>
      <w:r w:rsidRPr="0024640C">
        <w:rPr>
          <w:rStyle w:val="Bodytext2TimesNewRoman0"/>
          <w:rFonts w:ascii="Sylfaen" w:eastAsia="Sylfaen" w:hAnsi="Sylfaen"/>
          <w:sz w:val="24"/>
          <w:szCs w:val="24"/>
        </w:rPr>
        <w:t>к решению № 8/7 Объединённой коллегии таможенных служб государств - членов Таможенного союза</w:t>
      </w:r>
    </w:p>
    <w:p w:rsidR="00203B27" w:rsidRPr="0024640C" w:rsidRDefault="002B6778" w:rsidP="00982DA1">
      <w:pPr>
        <w:pStyle w:val="Bodytext60"/>
        <w:shd w:val="clear" w:color="auto" w:fill="auto"/>
        <w:spacing w:before="0" w:after="120" w:line="240" w:lineRule="auto"/>
        <w:ind w:left="1985" w:right="1976"/>
        <w:rPr>
          <w:sz w:val="24"/>
          <w:szCs w:val="24"/>
        </w:rPr>
      </w:pPr>
      <w:r w:rsidRPr="0024640C">
        <w:rPr>
          <w:rStyle w:val="Bodytext6TimesNewRoman"/>
          <w:rFonts w:ascii="Sylfaen" w:eastAsia="Sylfaen" w:hAnsi="Sylfaen"/>
          <w:b/>
          <w:bCs/>
          <w:sz w:val="24"/>
          <w:szCs w:val="24"/>
        </w:rPr>
        <w:t>Порядок применения типовых критериев отнесения товаров,</w:t>
      </w:r>
      <w:r w:rsidR="00982DA1" w:rsidRPr="0024640C">
        <w:rPr>
          <w:rStyle w:val="Bodytext6TimesNewRoman"/>
          <w:rFonts w:ascii="Sylfaen" w:eastAsia="Sylfaen" w:hAnsi="Sylfaen"/>
          <w:b/>
          <w:bCs/>
          <w:sz w:val="24"/>
          <w:szCs w:val="24"/>
        </w:rPr>
        <w:t xml:space="preserve"> </w:t>
      </w:r>
      <w:r w:rsidRPr="0024640C">
        <w:rPr>
          <w:rStyle w:val="Bodytext6TimesNewRoman"/>
          <w:rFonts w:ascii="Sylfaen" w:eastAsia="Sylfaen" w:hAnsi="Sylfaen"/>
          <w:b/>
          <w:bCs/>
          <w:sz w:val="24"/>
          <w:szCs w:val="24"/>
        </w:rPr>
        <w:t>внешнеэкономических операций и лиц к группам риска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1. Перечень типовых критериев отнесения товаров, внешнеэкономических операций и лиц к группам риска (далее - Перечень критериев риска) сформирован в целях обеспечения единообразного подхода при формировании таможенными службами государств - членов Таможенного союза профилей рисков, целевых методик выявления рисков, а также повышения эффективности осуществления таможенного контроля с применением системы управления рисками (далее - СУР).</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2. Порядок применения типовых критериев отнесения товаров, внешнеэкономических операций и лиц к группам риска разработан в целях упорядочивания действий должностных лиц таможенных органов государств - членов Таможенного союза при использовании Перечня критериев риска.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3. Перечень критериев риска используется должностными лицами таможенных органов государств - членов Таможенного союза: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при разработке профилей рисков и целевых методик выявления риска;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при определении направлений проведения анализа источников информации, используемых для выявления рисков, в соответствии с правовыми актами таможенных служб государств - членов Таможенного союза;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при выявлении рисков в соответствии с рамочными профилями рисков, характеристика которых не формализована в виде конкретных индикаторов риска и предполагает наличие у должностных лиц таможенных органов соответствующих выводов о том, что заявленные сведения о перемещаемых товарах могут являться недостоверными;</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в качестве классификатора для систематизации сведений о применяемых профилях рисков и выявленных рисках;</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при выборе направлений для унификации отдельных элементов СУР (индикаторы, меры и т.д.) в рамках Таможенного союза;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при осуществлении анализа и оценки деятельности участников ВЭД для определения уровня риска;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4. Перечень критериев риска является конфиденциальной информацией и не подлежит разглашению другим лицам, за исключением случаев, установленных законодательством государств-членов таможенного союза.</w:t>
      </w:r>
    </w:p>
    <w:p w:rsidR="00203B27" w:rsidRPr="0024640C" w:rsidRDefault="002B6778" w:rsidP="00982DA1">
      <w:pPr>
        <w:pStyle w:val="Bodytext20"/>
        <w:shd w:val="clear" w:color="auto" w:fill="auto"/>
        <w:spacing w:after="120" w:line="240" w:lineRule="auto"/>
        <w:ind w:firstLine="709"/>
        <w:rPr>
          <w:sz w:val="24"/>
          <w:szCs w:val="24"/>
        </w:rPr>
      </w:pPr>
      <w:r w:rsidRPr="0024640C">
        <w:rPr>
          <w:rStyle w:val="Bodytext2TimesNewRoman0"/>
          <w:rFonts w:ascii="Sylfaen" w:eastAsia="Sylfaen" w:hAnsi="Sylfaen"/>
          <w:sz w:val="24"/>
          <w:szCs w:val="24"/>
        </w:rPr>
        <w:t xml:space="preserve">5. С использованием Перечня критериев риска таможенные органы </w:t>
      </w:r>
      <w:r w:rsidRPr="0024640C">
        <w:rPr>
          <w:rStyle w:val="Bodytext2TimesNewRoman0"/>
          <w:rFonts w:ascii="Sylfaen" w:eastAsia="Sylfaen" w:hAnsi="Sylfaen"/>
          <w:sz w:val="24"/>
          <w:szCs w:val="24"/>
        </w:rPr>
        <w:lastRenderedPageBreak/>
        <w:t>государств - членов Таможенного союза правовыми актами формируют собственные перечни критериев рисков, используемые в конкретном государстве - члене Таможенного союза, в том числе при необходимости дополняют Перечень критериев риска специфическими областями риска.</w:t>
      </w:r>
    </w:p>
    <w:sectPr w:rsidR="00203B27" w:rsidRPr="0024640C" w:rsidSect="00982DA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EF" w:rsidRDefault="007F73EF" w:rsidP="00203B27">
      <w:r>
        <w:separator/>
      </w:r>
    </w:p>
  </w:endnote>
  <w:endnote w:type="continuationSeparator" w:id="0">
    <w:p w:rsidR="007F73EF" w:rsidRDefault="007F73EF" w:rsidP="0020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EF" w:rsidRDefault="007F73EF"/>
  </w:footnote>
  <w:footnote w:type="continuationSeparator" w:id="0">
    <w:p w:rsidR="007F73EF" w:rsidRDefault="007F73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29B9"/>
    <w:multiLevelType w:val="multilevel"/>
    <w:tmpl w:val="C082DD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860217"/>
    <w:multiLevelType w:val="multilevel"/>
    <w:tmpl w:val="9C12E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C938A1"/>
    <w:multiLevelType w:val="multilevel"/>
    <w:tmpl w:val="33FA5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03B27"/>
    <w:rsid w:val="00203B27"/>
    <w:rsid w:val="0024640C"/>
    <w:rsid w:val="002B6778"/>
    <w:rsid w:val="007F73EF"/>
    <w:rsid w:val="00982DA1"/>
    <w:rsid w:val="009F4417"/>
    <w:rsid w:val="00B9491A"/>
    <w:rsid w:val="00FA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3B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3B27"/>
    <w:rPr>
      <w:color w:val="000080"/>
      <w:u w:val="single"/>
    </w:rPr>
  </w:style>
  <w:style w:type="character" w:customStyle="1" w:styleId="Heading1">
    <w:name w:val="Heading #1_"/>
    <w:basedOn w:val="DefaultParagraphFont"/>
    <w:link w:val="Heading10"/>
    <w:rsid w:val="00203B27"/>
    <w:rPr>
      <w:b/>
      <w:bCs/>
      <w:i w:val="0"/>
      <w:iCs w:val="0"/>
      <w:smallCaps w:val="0"/>
      <w:strike w:val="0"/>
      <w:sz w:val="34"/>
      <w:szCs w:val="34"/>
      <w:u w:val="none"/>
    </w:rPr>
  </w:style>
  <w:style w:type="character" w:customStyle="1" w:styleId="Heading1TimesNewRoman">
    <w:name w:val="Heading #1 + Times New Roman"/>
    <w:aliases w:val="16 pt"/>
    <w:basedOn w:val="Heading1"/>
    <w:rsid w:val="00203B27"/>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ing1TimesNewRoman0">
    <w:name w:val="Heading #1 + Times New Roman"/>
    <w:aliases w:val="16 pt,Spacing 4 pt"/>
    <w:basedOn w:val="Heading1"/>
    <w:rsid w:val="00203B27"/>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Bodytext3">
    <w:name w:val="Body text (3)_"/>
    <w:basedOn w:val="DefaultParagraphFont"/>
    <w:link w:val="Bodytext30"/>
    <w:rsid w:val="00203B27"/>
    <w:rPr>
      <w:b w:val="0"/>
      <w:bCs w:val="0"/>
      <w:i w:val="0"/>
      <w:iCs w:val="0"/>
      <w:smallCaps w:val="0"/>
      <w:strike w:val="0"/>
      <w:sz w:val="26"/>
      <w:szCs w:val="26"/>
      <w:u w:val="none"/>
      <w:lang w:val="en-US" w:eastAsia="en-US" w:bidi="en-US"/>
    </w:rPr>
  </w:style>
  <w:style w:type="character" w:customStyle="1" w:styleId="Bodytext3TimesNewRoman">
    <w:name w:val="Body text (3) + Times New Roman"/>
    <w:aliases w:val="Bold"/>
    <w:basedOn w:val="Bodytext3"/>
    <w:rsid w:val="00203B27"/>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7">
    <w:name w:val="Body text (7)_"/>
    <w:basedOn w:val="DefaultParagraphFont"/>
    <w:link w:val="Bodytext70"/>
    <w:rsid w:val="00203B27"/>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DefaultParagraphFont"/>
    <w:link w:val="Bodytext50"/>
    <w:rsid w:val="00203B27"/>
    <w:rPr>
      <w:b w:val="0"/>
      <w:bCs w:val="0"/>
      <w:i w:val="0"/>
      <w:iCs w:val="0"/>
      <w:smallCaps w:val="0"/>
      <w:strike w:val="0"/>
      <w:sz w:val="24"/>
      <w:szCs w:val="24"/>
      <w:u w:val="none"/>
    </w:rPr>
  </w:style>
  <w:style w:type="character" w:customStyle="1" w:styleId="Bodytext5TimesNewRoman">
    <w:name w:val="Body text (5) + Times New Roman"/>
    <w:aliases w:val="13 pt"/>
    <w:basedOn w:val="Bodytext5"/>
    <w:rsid w:val="00203B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
    <w:name w:val="Body text (2)_"/>
    <w:basedOn w:val="DefaultParagraphFont"/>
    <w:link w:val="Bodytext20"/>
    <w:rsid w:val="00203B27"/>
    <w:rPr>
      <w:b w:val="0"/>
      <w:bCs w:val="0"/>
      <w:i w:val="0"/>
      <w:iCs w:val="0"/>
      <w:smallCaps w:val="0"/>
      <w:strike w:val="0"/>
      <w:sz w:val="16"/>
      <w:szCs w:val="16"/>
      <w:u w:val="none"/>
    </w:rPr>
  </w:style>
  <w:style w:type="character" w:customStyle="1" w:styleId="Bodytext2TimesNewRoman">
    <w:name w:val="Body text (2) + Times New Roman"/>
    <w:aliases w:val="13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Bodytext2"/>
    <w:rsid w:val="00203B27"/>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Bodytext2TimesNewRoman0">
    <w:name w:val="Body text (2) + Times New Roman"/>
    <w:aliases w:val="8.5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6">
    <w:name w:val="Body text (6)_"/>
    <w:basedOn w:val="DefaultParagraphFont"/>
    <w:link w:val="Bodytext60"/>
    <w:rsid w:val="00203B27"/>
    <w:rPr>
      <w:b/>
      <w:bCs/>
      <w:i w:val="0"/>
      <w:iCs w:val="0"/>
      <w:smallCaps w:val="0"/>
      <w:strike w:val="0"/>
      <w:sz w:val="17"/>
      <w:szCs w:val="17"/>
      <w:u w:val="none"/>
    </w:rPr>
  </w:style>
  <w:style w:type="character" w:customStyle="1" w:styleId="Bodytext6TimesNewRoman">
    <w:name w:val="Body text (6) + Times New Roman"/>
    <w:basedOn w:val="Bodytext6"/>
    <w:rsid w:val="00203B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2TimesNewRoman1">
    <w:name w:val="Body text (2) + Times New Roman"/>
    <w:aliases w:val="7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Bodytext2TimesNewRoman2">
    <w:name w:val="Body text (2) + Times New Roman"/>
    <w:aliases w:val="10 pt"/>
    <w:basedOn w:val="Bodytext2"/>
    <w:rsid w:val="00203B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TimesNewRoman3">
    <w:name w:val="Body text (2) + Times New Roman"/>
    <w:aliases w:val="10.5 pt,Bold"/>
    <w:basedOn w:val="Bodytext2"/>
    <w:rsid w:val="00203B2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Heading10">
    <w:name w:val="Heading #1"/>
    <w:basedOn w:val="Normal"/>
    <w:link w:val="Heading1"/>
    <w:rsid w:val="00203B27"/>
    <w:pPr>
      <w:shd w:val="clear" w:color="auto" w:fill="FFFFFF"/>
      <w:spacing w:after="180" w:line="384" w:lineRule="exact"/>
      <w:jc w:val="center"/>
      <w:outlineLvl w:val="0"/>
    </w:pPr>
    <w:rPr>
      <w:b/>
      <w:bCs/>
      <w:sz w:val="34"/>
      <w:szCs w:val="34"/>
    </w:rPr>
  </w:style>
  <w:style w:type="paragraph" w:customStyle="1" w:styleId="Bodytext30">
    <w:name w:val="Body text (3)"/>
    <w:basedOn w:val="Normal"/>
    <w:link w:val="Bodytext3"/>
    <w:rsid w:val="00203B27"/>
    <w:pPr>
      <w:shd w:val="clear" w:color="auto" w:fill="FFFFFF"/>
      <w:spacing w:before="360" w:after="60" w:line="0" w:lineRule="atLeast"/>
      <w:jc w:val="both"/>
    </w:pPr>
    <w:rPr>
      <w:sz w:val="26"/>
      <w:szCs w:val="26"/>
      <w:lang w:val="en-US" w:eastAsia="en-US" w:bidi="en-US"/>
    </w:rPr>
  </w:style>
  <w:style w:type="paragraph" w:customStyle="1" w:styleId="Bodytext70">
    <w:name w:val="Body text (7)"/>
    <w:basedOn w:val="Normal"/>
    <w:link w:val="Bodytext7"/>
    <w:rsid w:val="00203B27"/>
    <w:pPr>
      <w:shd w:val="clear" w:color="auto" w:fill="FFFFFF"/>
      <w:spacing w:before="180" w:line="259" w:lineRule="exact"/>
      <w:jc w:val="center"/>
    </w:pPr>
    <w:rPr>
      <w:rFonts w:ascii="Times New Roman" w:eastAsia="Times New Roman" w:hAnsi="Times New Roman" w:cs="Times New Roman"/>
      <w:b/>
      <w:bCs/>
      <w:sz w:val="22"/>
      <w:szCs w:val="22"/>
    </w:rPr>
  </w:style>
  <w:style w:type="paragraph" w:customStyle="1" w:styleId="Bodytext50">
    <w:name w:val="Body text (5)"/>
    <w:basedOn w:val="Normal"/>
    <w:link w:val="Bodytext5"/>
    <w:rsid w:val="00203B27"/>
    <w:pPr>
      <w:shd w:val="clear" w:color="auto" w:fill="FFFFFF"/>
      <w:spacing w:before="180" w:after="180" w:line="283" w:lineRule="exact"/>
      <w:jc w:val="both"/>
    </w:pPr>
  </w:style>
  <w:style w:type="paragraph" w:customStyle="1" w:styleId="Bodytext20">
    <w:name w:val="Body text (2)"/>
    <w:basedOn w:val="Normal"/>
    <w:link w:val="Bodytext2"/>
    <w:rsid w:val="00203B27"/>
    <w:pPr>
      <w:shd w:val="clear" w:color="auto" w:fill="FFFFFF"/>
      <w:spacing w:line="0" w:lineRule="atLeast"/>
      <w:jc w:val="both"/>
    </w:pPr>
    <w:rPr>
      <w:sz w:val="16"/>
      <w:szCs w:val="16"/>
    </w:rPr>
  </w:style>
  <w:style w:type="paragraph" w:customStyle="1" w:styleId="Bodytext60">
    <w:name w:val="Body text (6)"/>
    <w:basedOn w:val="Normal"/>
    <w:link w:val="Bodytext6"/>
    <w:rsid w:val="00203B27"/>
    <w:pPr>
      <w:shd w:val="clear" w:color="auto" w:fill="FFFFFF"/>
      <w:spacing w:before="180" w:line="206" w:lineRule="exact"/>
      <w:jc w:val="center"/>
    </w:pPr>
    <w:rPr>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3674</Words>
  <Characters>20942</Characters>
  <Application>Microsoft Office Word</Application>
  <DocSecurity>0</DocSecurity>
  <Lines>174</Lines>
  <Paragraphs>49</Paragraphs>
  <ScaleCrop>false</ScaleCrop>
  <Company>TC</Company>
  <LinksUpToDate>false</LinksUpToDate>
  <CharactersWithSpaces>24567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cp:revision>
  <dcterms:created xsi:type="dcterms:W3CDTF">2015-07-17T08:58:00Z</dcterms:created>
  <dcterms:modified xsi:type="dcterms:W3CDTF">2015-09-23T10:25:00Z</dcterms:modified>
</cp:coreProperties>
</file>